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25" w:rsidRPr="00E15FF6" w:rsidRDefault="00D717E4" w:rsidP="00D717E4">
      <w:pPr>
        <w:jc w:val="center"/>
        <w:rPr>
          <w:b/>
          <w:u w:val="single"/>
        </w:rPr>
      </w:pPr>
      <w:r w:rsidRPr="00E15FF6">
        <w:rPr>
          <w:b/>
          <w:u w:val="single"/>
        </w:rPr>
        <w:t>Leistungsbeschreibung für das LAGA LFP-Vorhaben L</w:t>
      </w:r>
      <w:r w:rsidR="00311B0B" w:rsidRPr="00E15FF6">
        <w:rPr>
          <w:b/>
          <w:u w:val="single"/>
        </w:rPr>
        <w:t>1.</w:t>
      </w:r>
      <w:r w:rsidRPr="00E15FF6">
        <w:rPr>
          <w:b/>
          <w:u w:val="single"/>
        </w:rPr>
        <w:t>18</w:t>
      </w:r>
    </w:p>
    <w:p w:rsidR="00E92DCA" w:rsidRDefault="00D717E4" w:rsidP="00D717E4">
      <w:pPr>
        <w:jc w:val="center"/>
        <w:rPr>
          <w:b/>
        </w:rPr>
      </w:pPr>
      <w:r w:rsidRPr="00DD5445">
        <w:rPr>
          <w:b/>
        </w:rPr>
        <w:t xml:space="preserve">Ermittlung des Einflusses der </w:t>
      </w:r>
      <w:proofErr w:type="spellStart"/>
      <w:r w:rsidRPr="00DD5445">
        <w:rPr>
          <w:b/>
        </w:rPr>
        <w:t>Stückigkeit</w:t>
      </w:r>
      <w:proofErr w:type="spellEnd"/>
      <w:r w:rsidRPr="00DD5445">
        <w:rPr>
          <w:b/>
        </w:rPr>
        <w:t xml:space="preserve">/Körnigkeit von Materialien auf das Analysenergebnis von </w:t>
      </w:r>
      <w:proofErr w:type="spellStart"/>
      <w:r w:rsidRPr="00DD5445">
        <w:rPr>
          <w:b/>
        </w:rPr>
        <w:t>Elutionsversuchen</w:t>
      </w:r>
      <w:proofErr w:type="spellEnd"/>
      <w:r w:rsidR="00E92DCA">
        <w:rPr>
          <w:b/>
        </w:rPr>
        <w:t xml:space="preserve"> </w:t>
      </w:r>
    </w:p>
    <w:p w:rsidR="00D717E4" w:rsidRPr="00DD5445" w:rsidRDefault="00E92DCA" w:rsidP="00D717E4">
      <w:pPr>
        <w:jc w:val="center"/>
        <w:rPr>
          <w:b/>
        </w:rPr>
      </w:pPr>
      <w:r>
        <w:rPr>
          <w:b/>
        </w:rPr>
        <w:t>- Ermittlung fachlicher Grundlagen -</w:t>
      </w:r>
    </w:p>
    <w:p w:rsidR="00D717E4" w:rsidRPr="00DD5445" w:rsidRDefault="00CF68EC" w:rsidP="00D717E4">
      <w:pPr>
        <w:rPr>
          <w:b/>
        </w:rPr>
      </w:pPr>
      <w:r w:rsidRPr="00DD5445">
        <w:rPr>
          <w:b/>
        </w:rPr>
        <w:t>I. Allgemeines</w:t>
      </w:r>
    </w:p>
    <w:p w:rsidR="001327DE" w:rsidRPr="001327DE" w:rsidRDefault="001327DE" w:rsidP="001327DE">
      <w:pPr>
        <w:spacing w:before="0" w:after="0" w:line="360" w:lineRule="auto"/>
        <w:rPr>
          <w:rFonts w:eastAsia="Times New Roman" w:cs="Times New Roman"/>
          <w:lang w:eastAsia="de-DE"/>
        </w:rPr>
      </w:pPr>
      <w:r w:rsidRPr="001327DE">
        <w:rPr>
          <w:rFonts w:eastAsia="Times New Roman" w:cs="Times New Roman"/>
          <w:lang w:eastAsia="de-DE"/>
        </w:rPr>
        <w:t xml:space="preserve">Die Beurteilung des Stoffinventars von Abfällen beruht maßgeblich auf der Ermittlung der mobilisierbaren Stoffanteile. Die Charakterisierung fester Abfälle (Feststoffe) erfolgt im Wesentlichen anhand von </w:t>
      </w:r>
      <w:proofErr w:type="spellStart"/>
      <w:r w:rsidRPr="001327DE">
        <w:rPr>
          <w:rFonts w:eastAsia="Times New Roman" w:cs="Times New Roman"/>
          <w:lang w:eastAsia="de-DE"/>
        </w:rPr>
        <w:t>Eluatuntersuchungen</w:t>
      </w:r>
      <w:proofErr w:type="spellEnd"/>
      <w:r w:rsidRPr="001327DE">
        <w:rPr>
          <w:rFonts w:eastAsia="Times New Roman" w:cs="Times New Roman"/>
          <w:lang w:eastAsia="de-DE"/>
        </w:rPr>
        <w:t xml:space="preserve"> mit anschließender atomspektroskopischer Elementbestimmung der umweltrelevanten Spezies (Schwermetalle) im akkreditierten und/oder </w:t>
      </w:r>
      <w:proofErr w:type="spellStart"/>
      <w:r w:rsidRPr="001327DE">
        <w:rPr>
          <w:rFonts w:eastAsia="Times New Roman" w:cs="Times New Roman"/>
          <w:lang w:eastAsia="de-DE"/>
        </w:rPr>
        <w:t>notifizierten</w:t>
      </w:r>
      <w:proofErr w:type="spellEnd"/>
      <w:r w:rsidRPr="001327DE">
        <w:rPr>
          <w:rFonts w:eastAsia="Times New Roman" w:cs="Times New Roman"/>
          <w:lang w:eastAsia="de-DE"/>
        </w:rPr>
        <w:t xml:space="preserve"> Labor. </w:t>
      </w:r>
    </w:p>
    <w:p w:rsidR="001327DE" w:rsidRPr="001327DE" w:rsidRDefault="001327DE" w:rsidP="001327DE">
      <w:pPr>
        <w:spacing w:before="0" w:after="0" w:line="360" w:lineRule="auto"/>
        <w:rPr>
          <w:rFonts w:eastAsia="Times New Roman" w:cs="Times New Roman"/>
          <w:lang w:eastAsia="de-DE"/>
        </w:rPr>
      </w:pPr>
      <w:r w:rsidRPr="001327DE">
        <w:rPr>
          <w:rFonts w:eastAsia="Times New Roman" w:cs="Times New Roman"/>
          <w:lang w:eastAsia="de-DE"/>
        </w:rPr>
        <w:t>Zu untersuchende Abfälle werden i.d.R. auf Basis der LAGA-Richtlinie PN 98</w:t>
      </w:r>
      <w:r w:rsidRPr="00FB3CB0">
        <w:rPr>
          <w:rFonts w:eastAsia="Times New Roman" w:cs="Times New Roman"/>
          <w:vertAlign w:val="superscript"/>
          <w:lang w:eastAsia="de-DE"/>
        </w:rPr>
        <w:footnoteReference w:id="1"/>
      </w:r>
      <w:r w:rsidRPr="001327DE">
        <w:rPr>
          <w:rFonts w:eastAsia="Times New Roman" w:cs="Times New Roman"/>
          <w:lang w:eastAsia="de-DE"/>
        </w:rPr>
        <w:t xml:space="preserve"> beprobt und die Feststoffe im Anschluss </w:t>
      </w:r>
      <w:r w:rsidRPr="00FB3CB0">
        <w:rPr>
          <w:rFonts w:eastAsia="Times New Roman" w:cs="Times New Roman"/>
          <w:lang w:eastAsia="de-DE"/>
        </w:rPr>
        <w:t>gemäß DIN</w:t>
      </w:r>
      <w:r w:rsidR="007E105B">
        <w:rPr>
          <w:rFonts w:eastAsia="Times New Roman" w:cs="Times New Roman"/>
          <w:lang w:eastAsia="de-DE"/>
        </w:rPr>
        <w:t xml:space="preserve"> </w:t>
      </w:r>
      <w:r w:rsidRPr="001327DE">
        <w:rPr>
          <w:rFonts w:eastAsia="Times New Roman" w:cs="Times New Roman"/>
          <w:lang w:eastAsia="de-DE"/>
        </w:rPr>
        <w:t>19747</w:t>
      </w:r>
      <w:r w:rsidRPr="00FB3CB0">
        <w:rPr>
          <w:rFonts w:eastAsia="Times New Roman" w:cs="Times New Roman"/>
          <w:vertAlign w:val="superscript"/>
          <w:lang w:eastAsia="de-DE"/>
        </w:rPr>
        <w:footnoteReference w:id="2"/>
      </w:r>
      <w:r w:rsidRPr="001327DE">
        <w:rPr>
          <w:rFonts w:eastAsia="Times New Roman" w:cs="Times New Roman"/>
          <w:lang w:eastAsia="de-DE"/>
        </w:rPr>
        <w:t xml:space="preserve"> mechanisch vorbereitet, um Prüf- bzw. Untersuchungsprobenmaterial</w:t>
      </w:r>
      <w:r w:rsidR="00307694" w:rsidRPr="00307694">
        <w:rPr>
          <w:rFonts w:eastAsia="Times New Roman" w:cs="Times New Roman"/>
          <w:vertAlign w:val="superscript"/>
          <w:lang w:eastAsia="de-DE"/>
        </w:rPr>
        <w:t>2</w:t>
      </w:r>
      <w:r w:rsidRPr="001327DE">
        <w:rPr>
          <w:rFonts w:eastAsia="Times New Roman" w:cs="Times New Roman"/>
          <w:lang w:eastAsia="de-DE"/>
        </w:rPr>
        <w:t xml:space="preserve"> für abfalltechnische Untersuchungen </w:t>
      </w:r>
      <w:r w:rsidR="00D258BD">
        <w:rPr>
          <w:rFonts w:eastAsia="Times New Roman" w:cs="Times New Roman"/>
          <w:lang w:eastAsia="de-DE"/>
        </w:rPr>
        <w:t xml:space="preserve">in geeigneter Form </w:t>
      </w:r>
      <w:r w:rsidRPr="001327DE">
        <w:rPr>
          <w:rFonts w:eastAsia="Times New Roman" w:cs="Times New Roman"/>
          <w:lang w:eastAsia="de-DE"/>
        </w:rPr>
        <w:t>zu erhalten. Die Ermittlung der mobilisierbaren Stoffanteile (</w:t>
      </w:r>
      <w:proofErr w:type="spellStart"/>
      <w:r w:rsidRPr="001327DE">
        <w:rPr>
          <w:rFonts w:eastAsia="Times New Roman" w:cs="Times New Roman"/>
          <w:lang w:eastAsia="de-DE"/>
        </w:rPr>
        <w:t>Eluatgewinnung</w:t>
      </w:r>
      <w:proofErr w:type="spellEnd"/>
      <w:r w:rsidRPr="001327DE">
        <w:rPr>
          <w:rFonts w:eastAsia="Times New Roman" w:cs="Times New Roman"/>
          <w:lang w:eastAsia="de-DE"/>
        </w:rPr>
        <w:t xml:space="preserve">) erfolgt gemäß den in den jeweiligen untergesetzlichen Regelwerken zum </w:t>
      </w:r>
      <w:proofErr w:type="spellStart"/>
      <w:r w:rsidRPr="001327DE">
        <w:rPr>
          <w:rFonts w:eastAsia="Times New Roman" w:cs="Times New Roman"/>
          <w:lang w:eastAsia="de-DE"/>
        </w:rPr>
        <w:t>KrWG</w:t>
      </w:r>
      <w:proofErr w:type="spellEnd"/>
      <w:r w:rsidRPr="001327DE">
        <w:rPr>
          <w:rFonts w:eastAsia="Times New Roman" w:cs="Times New Roman"/>
          <w:lang w:eastAsia="de-DE"/>
        </w:rPr>
        <w:t xml:space="preserve"> zitierten Verfahren. Hierbei handelt es sich i</w:t>
      </w:r>
      <w:r w:rsidR="00307694">
        <w:rPr>
          <w:rFonts w:eastAsia="Times New Roman" w:cs="Times New Roman"/>
          <w:lang w:eastAsia="de-DE"/>
        </w:rPr>
        <w:t xml:space="preserve">.d.R. um </w:t>
      </w:r>
      <w:proofErr w:type="spellStart"/>
      <w:r w:rsidR="00307694">
        <w:rPr>
          <w:rFonts w:eastAsia="Times New Roman" w:cs="Times New Roman"/>
          <w:lang w:eastAsia="de-DE"/>
        </w:rPr>
        <w:t>Elutionsmethoden</w:t>
      </w:r>
      <w:proofErr w:type="spellEnd"/>
      <w:r w:rsidR="00307694">
        <w:rPr>
          <w:rFonts w:eastAsia="Times New Roman" w:cs="Times New Roman"/>
          <w:lang w:eastAsia="de-DE"/>
        </w:rPr>
        <w:t>, denen das</w:t>
      </w:r>
      <w:r w:rsidRPr="001327DE">
        <w:rPr>
          <w:rFonts w:eastAsia="Times New Roman" w:cs="Times New Roman"/>
          <w:lang w:eastAsia="de-DE"/>
        </w:rPr>
        <w:t xml:space="preserve"> Feststoff-/Flüssig</w:t>
      </w:r>
      <w:r w:rsidR="00307694">
        <w:rPr>
          <w:rFonts w:eastAsia="Times New Roman" w:cs="Times New Roman"/>
          <w:lang w:eastAsia="de-DE"/>
        </w:rPr>
        <w:t xml:space="preserve">keitsverhältnis </w:t>
      </w:r>
      <w:r w:rsidR="00DD75D1">
        <w:rPr>
          <w:rFonts w:eastAsia="Times New Roman" w:cs="Times New Roman"/>
          <w:lang w:eastAsia="de-DE"/>
        </w:rPr>
        <w:t xml:space="preserve">mit </w:t>
      </w:r>
      <w:r w:rsidR="00307694">
        <w:rPr>
          <w:rFonts w:eastAsia="Times New Roman" w:cs="Times New Roman"/>
          <w:lang w:eastAsia="de-DE"/>
        </w:rPr>
        <w:t>s/l=1:10 zu Grunde liegt</w:t>
      </w:r>
      <w:r w:rsidR="00E74D3D">
        <w:rPr>
          <w:rFonts w:eastAsia="Times New Roman" w:cs="Times New Roman"/>
          <w:lang w:eastAsia="de-DE"/>
        </w:rPr>
        <w:t>. Nach Durchführung eines</w:t>
      </w:r>
      <w:r w:rsidR="00DF3F8A">
        <w:rPr>
          <w:rFonts w:eastAsia="Times New Roman" w:cs="Times New Roman"/>
          <w:lang w:eastAsia="de-DE"/>
        </w:rPr>
        <w:t xml:space="preserve"> 24-</w:t>
      </w:r>
      <w:r w:rsidRPr="001327DE">
        <w:rPr>
          <w:rFonts w:eastAsia="Times New Roman" w:cs="Times New Roman"/>
          <w:lang w:eastAsia="de-DE"/>
        </w:rPr>
        <w:t xml:space="preserve">stündigen </w:t>
      </w:r>
      <w:proofErr w:type="spellStart"/>
      <w:r w:rsidRPr="001327DE">
        <w:rPr>
          <w:rFonts w:eastAsia="Times New Roman" w:cs="Times New Roman"/>
          <w:lang w:eastAsia="de-DE"/>
        </w:rPr>
        <w:t>Elutionsversuchs</w:t>
      </w:r>
      <w:proofErr w:type="spellEnd"/>
      <w:r w:rsidRPr="001327DE">
        <w:rPr>
          <w:rFonts w:eastAsia="Times New Roman" w:cs="Times New Roman"/>
          <w:lang w:eastAsia="de-DE"/>
        </w:rPr>
        <w:t xml:space="preserve"> er</w:t>
      </w:r>
      <w:r w:rsidR="007E105B">
        <w:rPr>
          <w:rFonts w:eastAsia="Times New Roman" w:cs="Times New Roman"/>
          <w:lang w:eastAsia="de-DE"/>
        </w:rPr>
        <w:t xml:space="preserve">folgt </w:t>
      </w:r>
      <w:r w:rsidR="00DF3F8A" w:rsidRPr="001327DE">
        <w:rPr>
          <w:rFonts w:eastAsia="Times New Roman" w:cs="Times New Roman"/>
          <w:lang w:eastAsia="de-DE"/>
        </w:rPr>
        <w:t>i.d.R.</w:t>
      </w:r>
      <w:r w:rsidR="00DF3F8A">
        <w:rPr>
          <w:rFonts w:eastAsia="Times New Roman" w:cs="Times New Roman"/>
          <w:lang w:eastAsia="de-DE"/>
        </w:rPr>
        <w:t xml:space="preserve"> </w:t>
      </w:r>
      <w:r w:rsidRPr="001327DE">
        <w:rPr>
          <w:rFonts w:eastAsia="Times New Roman" w:cs="Times New Roman"/>
          <w:lang w:eastAsia="de-DE"/>
        </w:rPr>
        <w:t xml:space="preserve">die atomspektroskopische Elementbestimmung mittels ICP-OES </w:t>
      </w:r>
      <w:r w:rsidR="00DD75D1">
        <w:rPr>
          <w:rFonts w:eastAsia="Times New Roman" w:cs="Times New Roman"/>
          <w:lang w:eastAsia="de-DE"/>
        </w:rPr>
        <w:t>und/</w:t>
      </w:r>
      <w:r w:rsidRPr="001327DE">
        <w:rPr>
          <w:rFonts w:eastAsia="Times New Roman" w:cs="Times New Roman"/>
          <w:lang w:eastAsia="de-DE"/>
        </w:rPr>
        <w:t>oder ICP-MS.</w:t>
      </w:r>
    </w:p>
    <w:p w:rsidR="00CF68EC" w:rsidRPr="00FB3CB0" w:rsidRDefault="001327DE" w:rsidP="001327DE">
      <w:pPr>
        <w:spacing w:before="0" w:after="0" w:line="360" w:lineRule="auto"/>
        <w:rPr>
          <w:rFonts w:eastAsia="Times New Roman" w:cs="Times New Roman"/>
          <w:lang w:eastAsia="de-DE"/>
        </w:rPr>
      </w:pPr>
      <w:r w:rsidRPr="00FB3CB0">
        <w:rPr>
          <w:rFonts w:eastAsia="Times New Roman" w:cs="Times New Roman"/>
          <w:lang w:eastAsia="de-DE"/>
        </w:rPr>
        <w:t>Die Entscheidung bzgl. einer geeigneten Verwertung oder der Beseitigung der Materialien auf einer entsprechenden Deponie hängt maßgeblich vom Gehalt der ermittelten mobilisierbaren anorganischen Stoffante</w:t>
      </w:r>
      <w:r w:rsidR="00746922">
        <w:rPr>
          <w:rFonts w:eastAsia="Times New Roman" w:cs="Times New Roman"/>
          <w:lang w:eastAsia="de-DE"/>
        </w:rPr>
        <w:t xml:space="preserve">ile im </w:t>
      </w:r>
      <w:proofErr w:type="spellStart"/>
      <w:r w:rsidR="00746922">
        <w:rPr>
          <w:rFonts w:eastAsia="Times New Roman" w:cs="Times New Roman"/>
          <w:lang w:eastAsia="de-DE"/>
        </w:rPr>
        <w:t>Eluat</w:t>
      </w:r>
      <w:proofErr w:type="spellEnd"/>
      <w:r w:rsidR="00746922">
        <w:rPr>
          <w:rFonts w:eastAsia="Times New Roman" w:cs="Times New Roman"/>
          <w:lang w:eastAsia="de-DE"/>
        </w:rPr>
        <w:t xml:space="preserve"> ab. D</w:t>
      </w:r>
      <w:r w:rsidRPr="00FB3CB0">
        <w:rPr>
          <w:rFonts w:eastAsia="Times New Roman" w:cs="Times New Roman"/>
          <w:lang w:eastAsia="de-DE"/>
        </w:rPr>
        <w:t xml:space="preserve">ie Höhe der </w:t>
      </w:r>
      <w:proofErr w:type="spellStart"/>
      <w:r w:rsidRPr="00FB3CB0">
        <w:rPr>
          <w:rFonts w:eastAsia="Times New Roman" w:cs="Times New Roman"/>
          <w:lang w:eastAsia="de-DE"/>
        </w:rPr>
        <w:t>Eluatgehalte</w:t>
      </w:r>
      <w:proofErr w:type="spellEnd"/>
      <w:r w:rsidRPr="00FB3CB0">
        <w:rPr>
          <w:rFonts w:eastAsia="Times New Roman" w:cs="Times New Roman"/>
          <w:lang w:eastAsia="de-DE"/>
        </w:rPr>
        <w:t xml:space="preserve"> hängen einerseits von der </w:t>
      </w:r>
      <w:r w:rsidR="00EC2638">
        <w:rPr>
          <w:rFonts w:eastAsia="Times New Roman" w:cs="Times New Roman"/>
          <w:lang w:eastAsia="de-DE"/>
        </w:rPr>
        <w:t xml:space="preserve">anzutreffenden </w:t>
      </w:r>
      <w:r w:rsidRPr="00FB3CB0">
        <w:rPr>
          <w:rFonts w:eastAsia="Times New Roman" w:cs="Times New Roman"/>
          <w:lang w:eastAsia="de-DE"/>
        </w:rPr>
        <w:t>Prüfmerkmalsträger-Anzahl in der Untersuchungsprobe</w:t>
      </w:r>
      <w:r w:rsidRPr="00FB3CB0">
        <w:rPr>
          <w:rFonts w:eastAsia="Times New Roman" w:cs="Times New Roman"/>
          <w:vertAlign w:val="superscript"/>
          <w:lang w:eastAsia="de-DE"/>
        </w:rPr>
        <w:t>2</w:t>
      </w:r>
      <w:r w:rsidRPr="00FB3CB0">
        <w:rPr>
          <w:rFonts w:eastAsia="Times New Roman" w:cs="Times New Roman"/>
          <w:lang w:eastAsia="de-DE"/>
        </w:rPr>
        <w:t xml:space="preserve"> und andererseits </w:t>
      </w:r>
      <w:r w:rsidR="007E105B">
        <w:rPr>
          <w:rFonts w:eastAsia="Times New Roman" w:cs="Times New Roman"/>
          <w:lang w:eastAsia="de-DE"/>
        </w:rPr>
        <w:t xml:space="preserve">auch </w:t>
      </w:r>
      <w:r w:rsidRPr="00FB3CB0">
        <w:rPr>
          <w:rFonts w:eastAsia="Times New Roman" w:cs="Times New Roman"/>
          <w:lang w:eastAsia="de-DE"/>
        </w:rPr>
        <w:t xml:space="preserve">von der </w:t>
      </w:r>
      <w:proofErr w:type="spellStart"/>
      <w:r w:rsidRPr="00FB3CB0">
        <w:rPr>
          <w:rFonts w:eastAsia="Times New Roman" w:cs="Times New Roman"/>
          <w:lang w:eastAsia="de-DE"/>
        </w:rPr>
        <w:t>Stückigkeit</w:t>
      </w:r>
      <w:proofErr w:type="spellEnd"/>
      <w:r w:rsidRPr="00FB3CB0">
        <w:rPr>
          <w:rFonts w:eastAsia="Times New Roman" w:cs="Times New Roman"/>
          <w:lang w:eastAsia="de-DE"/>
        </w:rPr>
        <w:t>/Körnigkeit des Materials</w:t>
      </w:r>
      <w:r w:rsidR="0094124D" w:rsidRPr="0094124D">
        <w:rPr>
          <w:rFonts w:eastAsia="Times New Roman" w:cs="Times New Roman"/>
          <w:lang w:eastAsia="de-DE"/>
        </w:rPr>
        <w:t xml:space="preserve"> </w:t>
      </w:r>
      <w:r w:rsidR="0094124D" w:rsidRPr="00FB3CB0">
        <w:rPr>
          <w:rFonts w:eastAsia="Times New Roman" w:cs="Times New Roman"/>
          <w:lang w:eastAsia="de-DE"/>
        </w:rPr>
        <w:t>ab</w:t>
      </w:r>
      <w:r w:rsidR="00EC2638">
        <w:rPr>
          <w:rFonts w:eastAsia="Times New Roman" w:cs="Times New Roman"/>
          <w:lang w:eastAsia="de-DE"/>
        </w:rPr>
        <w:t>. An f</w:t>
      </w:r>
      <w:r w:rsidRPr="00FB3CB0">
        <w:rPr>
          <w:rFonts w:eastAsia="Times New Roman" w:cs="Times New Roman"/>
          <w:lang w:eastAsia="de-DE"/>
        </w:rPr>
        <w:t xml:space="preserve">risch </w:t>
      </w:r>
      <w:r w:rsidR="00747F09" w:rsidRPr="00FB3CB0">
        <w:rPr>
          <w:rFonts w:eastAsia="Times New Roman" w:cs="Times New Roman"/>
          <w:lang w:eastAsia="de-DE"/>
        </w:rPr>
        <w:t>geb</w:t>
      </w:r>
      <w:r w:rsidR="00747F09">
        <w:rPr>
          <w:rFonts w:eastAsia="Times New Roman" w:cs="Times New Roman"/>
          <w:lang w:eastAsia="de-DE"/>
        </w:rPr>
        <w:t>rochenen</w:t>
      </w:r>
      <w:r w:rsidRPr="00FB3CB0">
        <w:rPr>
          <w:rFonts w:eastAsia="Times New Roman" w:cs="Times New Roman"/>
          <w:lang w:eastAsia="de-DE"/>
        </w:rPr>
        <w:t xml:space="preserve"> Material</w:t>
      </w:r>
      <w:r w:rsidR="0094124D">
        <w:rPr>
          <w:rFonts w:eastAsia="Times New Roman" w:cs="Times New Roman"/>
          <w:lang w:eastAsia="de-DE"/>
        </w:rPr>
        <w:t>ien</w:t>
      </w:r>
      <w:r w:rsidRPr="00FB3CB0">
        <w:rPr>
          <w:rFonts w:eastAsia="Times New Roman" w:cs="Times New Roman"/>
          <w:lang w:eastAsia="de-DE"/>
        </w:rPr>
        <w:t xml:space="preserve"> </w:t>
      </w:r>
      <w:r w:rsidR="00EC2638">
        <w:rPr>
          <w:rFonts w:eastAsia="Times New Roman" w:cs="Times New Roman"/>
          <w:lang w:eastAsia="de-DE"/>
        </w:rPr>
        <w:t xml:space="preserve">hingegen werden vergleichsweise </w:t>
      </w:r>
      <w:r w:rsidRPr="00FB3CB0">
        <w:rPr>
          <w:rFonts w:eastAsia="Times New Roman" w:cs="Times New Roman"/>
          <w:lang w:eastAsia="de-DE"/>
        </w:rPr>
        <w:t>höhere</w:t>
      </w:r>
      <w:r w:rsidR="00EC2638">
        <w:rPr>
          <w:rFonts w:eastAsia="Times New Roman" w:cs="Times New Roman"/>
          <w:lang w:eastAsia="de-DE"/>
        </w:rPr>
        <w:t xml:space="preserve"> mobilisierbare</w:t>
      </w:r>
      <w:r w:rsidRPr="00FB3CB0">
        <w:rPr>
          <w:rFonts w:eastAsia="Times New Roman" w:cs="Times New Roman"/>
          <w:lang w:eastAsia="de-DE"/>
        </w:rPr>
        <w:t xml:space="preserve"> </w:t>
      </w:r>
      <w:r w:rsidR="00EC2638">
        <w:rPr>
          <w:rFonts w:eastAsia="Times New Roman" w:cs="Times New Roman"/>
          <w:lang w:eastAsia="de-DE"/>
        </w:rPr>
        <w:t xml:space="preserve">Stoffanteile </w:t>
      </w:r>
      <w:r w:rsidRPr="00FB3CB0">
        <w:rPr>
          <w:rFonts w:eastAsia="Times New Roman" w:cs="Times New Roman"/>
          <w:lang w:eastAsia="de-DE"/>
        </w:rPr>
        <w:t>(</w:t>
      </w:r>
      <w:proofErr w:type="spellStart"/>
      <w:r w:rsidRPr="00FB3CB0">
        <w:rPr>
          <w:rFonts w:eastAsia="Times New Roman" w:cs="Times New Roman"/>
          <w:lang w:eastAsia="de-DE"/>
        </w:rPr>
        <w:t>Eluatgehalte</w:t>
      </w:r>
      <w:proofErr w:type="spellEnd"/>
      <w:r w:rsidR="00DF3F8A">
        <w:rPr>
          <w:rFonts w:eastAsia="Times New Roman" w:cs="Times New Roman"/>
          <w:lang w:eastAsia="de-DE"/>
        </w:rPr>
        <w:t xml:space="preserve">) beobachtet. Auch </w:t>
      </w:r>
      <w:r w:rsidR="00EC2638">
        <w:rPr>
          <w:rFonts w:eastAsia="Times New Roman" w:cs="Times New Roman"/>
          <w:lang w:eastAsia="de-DE"/>
        </w:rPr>
        <w:t>exp</w:t>
      </w:r>
      <w:r w:rsidR="00DF3F8A">
        <w:rPr>
          <w:rFonts w:eastAsia="Times New Roman" w:cs="Times New Roman"/>
          <w:lang w:eastAsia="de-DE"/>
        </w:rPr>
        <w:t>erimentell bedingter Abrieb steht in Verdacht,</w:t>
      </w:r>
      <w:r w:rsidR="00E74D3D">
        <w:rPr>
          <w:rFonts w:eastAsia="Times New Roman" w:cs="Times New Roman"/>
          <w:lang w:eastAsia="de-DE"/>
        </w:rPr>
        <w:t xml:space="preserve"> solche Effekte hervorzurufen</w:t>
      </w:r>
      <w:r w:rsidR="00EC2638">
        <w:rPr>
          <w:rFonts w:eastAsia="Times New Roman" w:cs="Times New Roman"/>
          <w:lang w:eastAsia="de-DE"/>
        </w:rPr>
        <w:t>.</w:t>
      </w:r>
      <w:r w:rsidRPr="00FB3CB0">
        <w:rPr>
          <w:rFonts w:eastAsia="Times New Roman" w:cs="Times New Roman"/>
          <w:lang w:eastAsia="de-DE"/>
        </w:rPr>
        <w:t xml:space="preserve"> </w:t>
      </w:r>
    </w:p>
    <w:p w:rsidR="00FB0E64" w:rsidRDefault="00FB0E64" w:rsidP="001327DE">
      <w:pPr>
        <w:spacing w:before="0" w:after="0" w:line="360" w:lineRule="auto"/>
        <w:rPr>
          <w:rFonts w:eastAsia="Times New Roman" w:cs="Times New Roman"/>
          <w:lang w:eastAsia="de-DE"/>
        </w:rPr>
      </w:pPr>
    </w:p>
    <w:p w:rsidR="00CF68EC" w:rsidRPr="002E468D" w:rsidRDefault="00FB0E64" w:rsidP="001327DE">
      <w:pPr>
        <w:spacing w:before="0" w:after="0" w:line="360" w:lineRule="auto"/>
        <w:rPr>
          <w:rFonts w:eastAsia="Times New Roman" w:cs="Times New Roman"/>
          <w:b/>
          <w:lang w:eastAsia="de-DE"/>
        </w:rPr>
      </w:pPr>
      <w:r w:rsidRPr="002E468D">
        <w:rPr>
          <w:rFonts w:eastAsia="Times New Roman" w:cs="Times New Roman"/>
          <w:b/>
          <w:lang w:eastAsia="de-DE"/>
        </w:rPr>
        <w:t>II. Untersuchungsziele</w:t>
      </w:r>
    </w:p>
    <w:p w:rsidR="00A20A72" w:rsidRDefault="00FB0E64" w:rsidP="00FE5624">
      <w:pPr>
        <w:spacing w:before="0" w:after="0" w:line="36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An ausgewählten sortenreinen Materialien von </w:t>
      </w:r>
      <w:r w:rsidR="00037DB8" w:rsidRPr="00746922">
        <w:rPr>
          <w:rFonts w:eastAsia="Times New Roman" w:cs="Arial"/>
          <w:b/>
          <w:lang w:eastAsia="de-DE"/>
        </w:rPr>
        <w:t xml:space="preserve">streng </w:t>
      </w:r>
      <w:r w:rsidRPr="00746922">
        <w:rPr>
          <w:rFonts w:eastAsia="Times New Roman" w:cs="Arial"/>
          <w:b/>
          <w:lang w:eastAsia="de-DE"/>
        </w:rPr>
        <w:t>definierter</w:t>
      </w:r>
      <w:r>
        <w:rPr>
          <w:rFonts w:eastAsia="Times New Roman" w:cs="Arial"/>
          <w:lang w:eastAsia="de-DE"/>
        </w:rPr>
        <w:t xml:space="preserve"> </w:t>
      </w:r>
      <w:proofErr w:type="spellStart"/>
      <w:r>
        <w:rPr>
          <w:rFonts w:eastAsia="Times New Roman" w:cs="Arial"/>
          <w:lang w:eastAsia="de-DE"/>
        </w:rPr>
        <w:t>Stückigkeit</w:t>
      </w:r>
      <w:proofErr w:type="spellEnd"/>
      <w:r w:rsidR="002E468D">
        <w:rPr>
          <w:rFonts w:eastAsia="Times New Roman" w:cs="Arial"/>
          <w:lang w:eastAsia="de-DE"/>
        </w:rPr>
        <w:t xml:space="preserve">/Körnigkeit soll </w:t>
      </w:r>
      <w:r w:rsidR="009E0C3C">
        <w:rPr>
          <w:rFonts w:eastAsia="Times New Roman" w:cs="Arial"/>
          <w:lang w:eastAsia="de-DE"/>
        </w:rPr>
        <w:t xml:space="preserve">der </w:t>
      </w:r>
      <w:r>
        <w:rPr>
          <w:rFonts w:eastAsia="Times New Roman" w:cs="Arial"/>
          <w:lang w:eastAsia="de-DE"/>
        </w:rPr>
        <w:t xml:space="preserve">Einfluss auf die Höhe </w:t>
      </w:r>
      <w:r w:rsidR="00CE5D71">
        <w:rPr>
          <w:rFonts w:eastAsia="Times New Roman" w:cs="Arial"/>
          <w:lang w:eastAsia="de-DE"/>
        </w:rPr>
        <w:t xml:space="preserve">der Konzentration </w:t>
      </w:r>
      <w:r>
        <w:rPr>
          <w:rFonts w:eastAsia="Times New Roman" w:cs="Arial"/>
          <w:lang w:eastAsia="de-DE"/>
        </w:rPr>
        <w:t xml:space="preserve">des </w:t>
      </w:r>
      <w:proofErr w:type="spellStart"/>
      <w:r>
        <w:rPr>
          <w:rFonts w:eastAsia="Times New Roman" w:cs="Arial"/>
          <w:lang w:eastAsia="de-DE"/>
        </w:rPr>
        <w:t>Eluatgehaltes</w:t>
      </w:r>
      <w:proofErr w:type="spellEnd"/>
      <w:r>
        <w:rPr>
          <w:rFonts w:eastAsia="Times New Roman" w:cs="Arial"/>
          <w:lang w:eastAsia="de-DE"/>
        </w:rPr>
        <w:t xml:space="preserve"> und die damit verbundene Reproduzierbarkeit</w:t>
      </w:r>
      <w:r w:rsidR="009E0C3C">
        <w:rPr>
          <w:rFonts w:eastAsia="Times New Roman" w:cs="Arial"/>
          <w:lang w:eastAsia="de-DE"/>
        </w:rPr>
        <w:t>, ausgedrückt als Variationskoeffizient,</w:t>
      </w:r>
      <w:r>
        <w:rPr>
          <w:rFonts w:eastAsia="Times New Roman" w:cs="Arial"/>
          <w:lang w:eastAsia="de-DE"/>
        </w:rPr>
        <w:t xml:space="preserve"> ermittelt werden. Hierfür solle</w:t>
      </w:r>
      <w:r w:rsidR="00DF3F8A">
        <w:rPr>
          <w:rFonts w:eastAsia="Times New Roman" w:cs="Arial"/>
          <w:lang w:eastAsia="de-DE"/>
        </w:rPr>
        <w:t>n die Prozesse der Kinetik des L</w:t>
      </w:r>
      <w:r>
        <w:rPr>
          <w:rFonts w:eastAsia="Times New Roman" w:cs="Arial"/>
          <w:lang w:eastAsia="de-DE"/>
        </w:rPr>
        <w:t>öseverhalten</w:t>
      </w:r>
      <w:r w:rsidR="00DF3F8A">
        <w:rPr>
          <w:rFonts w:eastAsia="Times New Roman" w:cs="Arial"/>
          <w:lang w:eastAsia="de-DE"/>
        </w:rPr>
        <w:t>s</w:t>
      </w:r>
      <w:r>
        <w:rPr>
          <w:rFonts w:eastAsia="Times New Roman" w:cs="Arial"/>
          <w:lang w:eastAsia="de-DE"/>
        </w:rPr>
        <w:t xml:space="preserve"> </w:t>
      </w:r>
      <w:r w:rsidR="00FB1D80">
        <w:rPr>
          <w:rFonts w:eastAsia="Times New Roman" w:cs="Arial"/>
          <w:lang w:eastAsia="de-DE"/>
        </w:rPr>
        <w:t>systematisch</w:t>
      </w:r>
      <w:r>
        <w:rPr>
          <w:rFonts w:eastAsia="Times New Roman" w:cs="Arial"/>
          <w:lang w:eastAsia="de-DE"/>
        </w:rPr>
        <w:t xml:space="preserve"> untersucht werden, wobei auch der Einfluss der spezifischen Oberfläche </w:t>
      </w:r>
      <w:r w:rsidR="00FE5624">
        <w:rPr>
          <w:rFonts w:eastAsia="Times New Roman" w:cs="Arial"/>
          <w:lang w:eastAsia="de-DE"/>
        </w:rPr>
        <w:t>des Untersuchungs</w:t>
      </w:r>
      <w:r w:rsidR="00A20A72">
        <w:rPr>
          <w:rFonts w:eastAsia="Times New Roman" w:cs="Arial"/>
          <w:lang w:eastAsia="de-DE"/>
        </w:rPr>
        <w:t>proben</w:t>
      </w:r>
      <w:r w:rsidR="00FE5624">
        <w:rPr>
          <w:rFonts w:eastAsia="Times New Roman" w:cs="Arial"/>
          <w:lang w:eastAsia="de-DE"/>
        </w:rPr>
        <w:t xml:space="preserve">materials </w:t>
      </w:r>
      <w:r>
        <w:rPr>
          <w:rFonts w:eastAsia="Times New Roman" w:cs="Arial"/>
          <w:lang w:eastAsia="de-DE"/>
        </w:rPr>
        <w:t>auf di</w:t>
      </w:r>
      <w:r w:rsidR="00A20A72">
        <w:rPr>
          <w:rFonts w:eastAsia="Times New Roman" w:cs="Arial"/>
          <w:lang w:eastAsia="de-DE"/>
        </w:rPr>
        <w:t xml:space="preserve">e </w:t>
      </w:r>
      <w:r w:rsidR="00DF3F8A">
        <w:rPr>
          <w:rFonts w:eastAsia="Times New Roman" w:cs="Arial"/>
          <w:lang w:eastAsia="de-DE"/>
        </w:rPr>
        <w:t xml:space="preserve">Kinetik der </w:t>
      </w:r>
      <w:r w:rsidR="00A20A72">
        <w:rPr>
          <w:rFonts w:eastAsia="Times New Roman" w:cs="Arial"/>
          <w:lang w:eastAsia="de-DE"/>
        </w:rPr>
        <w:lastRenderedPageBreak/>
        <w:t>Löseprozesse mit in die systematischen Untersuchungen einzubeziehen</w:t>
      </w:r>
      <w:r w:rsidR="009E0C3C">
        <w:rPr>
          <w:rFonts w:eastAsia="Times New Roman" w:cs="Arial"/>
          <w:lang w:eastAsia="de-DE"/>
        </w:rPr>
        <w:t xml:space="preserve"> </w:t>
      </w:r>
      <w:r w:rsidR="00FC6226">
        <w:rPr>
          <w:rFonts w:eastAsia="Times New Roman" w:cs="Arial"/>
          <w:lang w:eastAsia="de-DE"/>
        </w:rPr>
        <w:t>ist</w:t>
      </w:r>
      <w:r>
        <w:rPr>
          <w:rFonts w:eastAsia="Times New Roman" w:cs="Arial"/>
          <w:lang w:eastAsia="de-DE"/>
        </w:rPr>
        <w:t>.</w:t>
      </w:r>
      <w:r w:rsidR="004F21AA">
        <w:rPr>
          <w:rFonts w:eastAsia="Times New Roman" w:cs="Arial"/>
          <w:lang w:eastAsia="de-DE"/>
        </w:rPr>
        <w:t xml:space="preserve"> </w:t>
      </w:r>
      <w:r w:rsidR="00A20A72">
        <w:rPr>
          <w:rFonts w:eastAsia="Times New Roman" w:cs="Arial"/>
          <w:lang w:eastAsia="de-DE"/>
        </w:rPr>
        <w:t xml:space="preserve">Als </w:t>
      </w:r>
      <w:proofErr w:type="spellStart"/>
      <w:r w:rsidR="00A20A72">
        <w:rPr>
          <w:rFonts w:eastAsia="Times New Roman" w:cs="Arial"/>
          <w:lang w:eastAsia="de-DE"/>
        </w:rPr>
        <w:t>Elutionsverfahren</w:t>
      </w:r>
      <w:proofErr w:type="spellEnd"/>
      <w:r w:rsidR="00A20A72">
        <w:rPr>
          <w:rFonts w:eastAsia="Times New Roman" w:cs="Arial"/>
          <w:lang w:eastAsia="de-DE"/>
        </w:rPr>
        <w:t xml:space="preserve"> sind Methoden mit einem</w:t>
      </w:r>
      <w:r w:rsidR="009E0C3C">
        <w:rPr>
          <w:rFonts w:eastAsia="Times New Roman" w:cs="Arial"/>
          <w:lang w:eastAsia="de-DE"/>
        </w:rPr>
        <w:t xml:space="preserve"> </w:t>
      </w:r>
      <w:r w:rsidR="00A20A72">
        <w:rPr>
          <w:rFonts w:eastAsia="Times New Roman" w:cs="Arial"/>
          <w:lang w:eastAsia="de-DE"/>
        </w:rPr>
        <w:t>Fests</w:t>
      </w:r>
      <w:r w:rsidR="00037DB8">
        <w:rPr>
          <w:rFonts w:eastAsia="Times New Roman" w:cs="Arial"/>
          <w:lang w:eastAsia="de-DE"/>
        </w:rPr>
        <w:t>toff-Flüssigkeitsverhältnis</w:t>
      </w:r>
      <w:r w:rsidR="00A20A72">
        <w:rPr>
          <w:rFonts w:eastAsia="Times New Roman" w:cs="Arial"/>
          <w:lang w:eastAsia="de-DE"/>
        </w:rPr>
        <w:t xml:space="preserve"> von</w:t>
      </w:r>
      <w:r w:rsidR="00DF3F8A">
        <w:rPr>
          <w:rFonts w:eastAsia="Times New Roman" w:cs="Arial"/>
          <w:lang w:eastAsia="de-DE"/>
        </w:rPr>
        <w:t xml:space="preserve"> s/l=1:10 und s/l=1:2 heranzuziehen</w:t>
      </w:r>
      <w:r w:rsidR="00A20A72">
        <w:rPr>
          <w:rFonts w:eastAsia="Times New Roman" w:cs="Arial"/>
          <w:lang w:eastAsia="de-DE"/>
        </w:rPr>
        <w:t>. Als Materialtypen sind Schlacke</w:t>
      </w:r>
      <w:r w:rsidR="00037DB8">
        <w:rPr>
          <w:rFonts w:eastAsia="Times New Roman" w:cs="Arial"/>
          <w:lang w:eastAsia="de-DE"/>
        </w:rPr>
        <w:t xml:space="preserve"> (z.B. Rostschlacke aus HMVA</w:t>
      </w:r>
      <w:r w:rsidR="00037DB8">
        <w:rPr>
          <w:rStyle w:val="Funotenzeichen"/>
          <w:rFonts w:eastAsia="Times New Roman" w:cs="Arial"/>
          <w:lang w:eastAsia="de-DE"/>
        </w:rPr>
        <w:footnoteReference w:id="3"/>
      </w:r>
      <w:r w:rsidR="00037DB8">
        <w:rPr>
          <w:rFonts w:eastAsia="Times New Roman" w:cs="Arial"/>
          <w:lang w:eastAsia="de-DE"/>
        </w:rPr>
        <w:t>)</w:t>
      </w:r>
      <w:r w:rsidR="00A20A72">
        <w:rPr>
          <w:rFonts w:eastAsia="Times New Roman" w:cs="Arial"/>
          <w:lang w:eastAsia="de-DE"/>
        </w:rPr>
        <w:t>, Ziegel- und Betonbruch</w:t>
      </w:r>
      <w:r w:rsidR="002E468D">
        <w:rPr>
          <w:rFonts w:eastAsia="Times New Roman" w:cs="Arial"/>
          <w:lang w:eastAsia="de-DE"/>
        </w:rPr>
        <w:t xml:space="preserve"> sowie Recyclingbaustoff Bunte Ware</w:t>
      </w:r>
      <w:r w:rsidR="00A20A72">
        <w:rPr>
          <w:rFonts w:eastAsia="Times New Roman" w:cs="Arial"/>
          <w:lang w:eastAsia="de-DE"/>
        </w:rPr>
        <w:t xml:space="preserve"> zu verwenden, wobei die Untersuchungen an Korngrößen von 32 mm, 10 mm, 2 mm und 0,25 mm durchzuführen sind. </w:t>
      </w:r>
    </w:p>
    <w:p w:rsidR="00DF3F8A" w:rsidRDefault="00FE5624" w:rsidP="00FE5624">
      <w:pPr>
        <w:spacing w:before="0" w:after="0" w:line="36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Als </w:t>
      </w:r>
      <w:proofErr w:type="spellStart"/>
      <w:r>
        <w:rPr>
          <w:rFonts w:eastAsia="Times New Roman" w:cs="Arial"/>
          <w:lang w:eastAsia="de-DE"/>
        </w:rPr>
        <w:t>Elutionsmethoden</w:t>
      </w:r>
      <w:proofErr w:type="spellEnd"/>
      <w:r>
        <w:rPr>
          <w:rFonts w:eastAsia="Times New Roman" w:cs="Arial"/>
          <w:lang w:eastAsia="de-DE"/>
        </w:rPr>
        <w:t xml:space="preserve"> sind die DIN EN 12457-4</w:t>
      </w:r>
      <w:r>
        <w:rPr>
          <w:rStyle w:val="Funotenzeichen"/>
          <w:rFonts w:eastAsia="Times New Roman" w:cs="Arial"/>
          <w:lang w:eastAsia="de-DE"/>
        </w:rPr>
        <w:footnoteReference w:id="4"/>
      </w:r>
      <w:r w:rsidR="00A20A72">
        <w:rPr>
          <w:rFonts w:eastAsia="Times New Roman" w:cs="Arial"/>
          <w:lang w:eastAsia="de-DE"/>
        </w:rPr>
        <w:t xml:space="preserve"> (s/l=1:10)</w:t>
      </w:r>
      <w:r w:rsidR="00DF3F8A">
        <w:rPr>
          <w:rFonts w:eastAsia="Times New Roman" w:cs="Arial"/>
          <w:lang w:eastAsia="de-DE"/>
        </w:rPr>
        <w:t xml:space="preserve">, die </w:t>
      </w:r>
      <w:r>
        <w:rPr>
          <w:rFonts w:eastAsia="Times New Roman" w:cs="Arial"/>
          <w:lang w:eastAsia="de-DE"/>
        </w:rPr>
        <w:t>DIN 19902</w:t>
      </w:r>
      <w:r w:rsidR="005C274E">
        <w:rPr>
          <w:rStyle w:val="Funotenzeichen"/>
          <w:rFonts w:eastAsia="Times New Roman" w:cs="Arial"/>
          <w:lang w:eastAsia="de-DE"/>
        </w:rPr>
        <w:footnoteReference w:id="5"/>
      </w:r>
      <w:r w:rsidR="00A20A72">
        <w:rPr>
          <w:rFonts w:eastAsia="Times New Roman" w:cs="Arial"/>
          <w:lang w:eastAsia="de-DE"/>
        </w:rPr>
        <w:t>(s/l=1:10; s/l=1:2)</w:t>
      </w:r>
      <w:r>
        <w:rPr>
          <w:rFonts w:eastAsia="Times New Roman" w:cs="Arial"/>
          <w:lang w:eastAsia="de-DE"/>
        </w:rPr>
        <w:t>, sowie die DIN 19529</w:t>
      </w:r>
      <w:r w:rsidR="005C274E">
        <w:rPr>
          <w:rStyle w:val="Funotenzeichen"/>
          <w:rFonts w:eastAsia="Times New Roman" w:cs="Arial"/>
          <w:lang w:eastAsia="de-DE"/>
        </w:rPr>
        <w:footnoteReference w:id="6"/>
      </w:r>
      <w:r w:rsidR="00A20A72">
        <w:rPr>
          <w:rFonts w:eastAsia="Times New Roman" w:cs="Arial"/>
          <w:lang w:eastAsia="de-DE"/>
        </w:rPr>
        <w:t xml:space="preserve"> (s/l=1:2)</w:t>
      </w:r>
      <w:r>
        <w:rPr>
          <w:rFonts w:eastAsia="Times New Roman" w:cs="Arial"/>
          <w:lang w:eastAsia="de-DE"/>
        </w:rPr>
        <w:t xml:space="preserve"> im Methodenvergleich </w:t>
      </w:r>
      <w:r w:rsidR="00A20A72">
        <w:rPr>
          <w:rFonts w:eastAsia="Times New Roman" w:cs="Arial"/>
          <w:lang w:eastAsia="de-DE"/>
        </w:rPr>
        <w:t>anzuwenden</w:t>
      </w:r>
      <w:r>
        <w:rPr>
          <w:rFonts w:eastAsia="Times New Roman" w:cs="Arial"/>
          <w:lang w:eastAsia="de-DE"/>
        </w:rPr>
        <w:t>. Wobei die DIN 19902 sowohl mit s/l=1:10 als auch mit s/l=1:2 Anwendung finden soll</w:t>
      </w:r>
      <w:r w:rsidR="009E0C3C">
        <w:rPr>
          <w:rFonts w:eastAsia="Times New Roman" w:cs="Arial"/>
          <w:lang w:eastAsia="de-DE"/>
        </w:rPr>
        <w:t xml:space="preserve"> und die zeitabhängigen Untersuchungen hier methodisch bedingt entfallen.</w:t>
      </w:r>
      <w:r>
        <w:rPr>
          <w:rFonts w:eastAsia="Times New Roman" w:cs="Arial"/>
          <w:lang w:eastAsia="de-DE"/>
        </w:rPr>
        <w:t xml:space="preserve"> </w:t>
      </w:r>
    </w:p>
    <w:p w:rsidR="00266F7A" w:rsidRDefault="00266F7A" w:rsidP="00FE5624">
      <w:pPr>
        <w:spacing w:before="0" w:after="0" w:line="36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Um zu belastbaren und statistisch auswertbaren Ergebnissen zu gelangen sind </w:t>
      </w:r>
      <w:r w:rsidR="002E468D">
        <w:rPr>
          <w:rFonts w:eastAsia="Times New Roman" w:cs="Arial"/>
          <w:lang w:eastAsia="de-DE"/>
        </w:rPr>
        <w:t xml:space="preserve">jeweils </w:t>
      </w:r>
      <w:r w:rsidR="00DF3F8A">
        <w:rPr>
          <w:rFonts w:eastAsia="Times New Roman" w:cs="Arial"/>
          <w:lang w:eastAsia="de-DE"/>
        </w:rPr>
        <w:t xml:space="preserve">Untersuchungen an </w:t>
      </w:r>
      <w:r w:rsidRPr="00746922">
        <w:rPr>
          <w:rFonts w:eastAsia="Times New Roman" w:cs="Arial"/>
          <w:u w:val="single"/>
          <w:lang w:eastAsia="de-DE"/>
        </w:rPr>
        <w:t>acht Parallelen</w:t>
      </w:r>
      <w:r>
        <w:rPr>
          <w:rFonts w:eastAsia="Times New Roman" w:cs="Arial"/>
          <w:lang w:eastAsia="de-DE"/>
        </w:rPr>
        <w:t xml:space="preserve"> durchzuführen.</w:t>
      </w:r>
    </w:p>
    <w:p w:rsidR="00FB0E64" w:rsidRPr="00067139" w:rsidRDefault="00FE5624" w:rsidP="00FE5624">
      <w:pPr>
        <w:spacing w:before="0" w:after="0" w:line="36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Die Elementanalytik</w:t>
      </w:r>
      <w:r w:rsidR="002E468D">
        <w:rPr>
          <w:rFonts w:eastAsia="Times New Roman" w:cs="Arial"/>
          <w:lang w:eastAsia="de-DE"/>
        </w:rPr>
        <w:t xml:space="preserve"> ist</w:t>
      </w:r>
      <w:r w:rsidR="00717E3E">
        <w:rPr>
          <w:rFonts w:eastAsia="Times New Roman" w:cs="Arial"/>
          <w:lang w:eastAsia="de-DE"/>
        </w:rPr>
        <w:t xml:space="preserve"> auf Basis der DIN </w:t>
      </w:r>
      <w:r>
        <w:rPr>
          <w:rFonts w:eastAsia="Times New Roman" w:cs="Arial"/>
          <w:lang w:eastAsia="de-DE"/>
        </w:rPr>
        <w:t>ISO 22036</w:t>
      </w:r>
      <w:r w:rsidR="005C274E">
        <w:rPr>
          <w:rStyle w:val="Funotenzeichen"/>
          <w:rFonts w:eastAsia="Times New Roman" w:cs="Arial"/>
          <w:lang w:eastAsia="de-DE"/>
        </w:rPr>
        <w:footnoteReference w:id="7"/>
      </w:r>
      <w:r>
        <w:rPr>
          <w:rFonts w:eastAsia="Times New Roman" w:cs="Arial"/>
          <w:lang w:eastAsia="de-DE"/>
        </w:rPr>
        <w:t xml:space="preserve"> bzw. DIN EN ISO 17294-2</w:t>
      </w:r>
      <w:r w:rsidR="005C274E">
        <w:rPr>
          <w:rStyle w:val="Funotenzeichen"/>
          <w:rFonts w:eastAsia="Times New Roman" w:cs="Arial"/>
          <w:lang w:eastAsia="de-DE"/>
        </w:rPr>
        <w:footnoteReference w:id="8"/>
      </w:r>
      <w:r>
        <w:rPr>
          <w:rFonts w:eastAsia="Times New Roman" w:cs="Arial"/>
          <w:lang w:eastAsia="de-DE"/>
        </w:rPr>
        <w:t xml:space="preserve"> </w:t>
      </w:r>
      <w:r w:rsidR="002E468D">
        <w:rPr>
          <w:rFonts w:eastAsia="Times New Roman" w:cs="Arial"/>
          <w:lang w:eastAsia="de-DE"/>
        </w:rPr>
        <w:t>durchzuführen</w:t>
      </w:r>
      <w:r>
        <w:rPr>
          <w:rFonts w:eastAsia="Times New Roman" w:cs="Arial"/>
          <w:lang w:eastAsia="de-DE"/>
        </w:rPr>
        <w:t>.</w:t>
      </w:r>
      <w:r w:rsidR="00FE7967">
        <w:rPr>
          <w:rFonts w:eastAsia="Times New Roman" w:cs="Arial"/>
          <w:lang w:eastAsia="de-DE"/>
        </w:rPr>
        <w:t xml:space="preserve"> H</w:t>
      </w:r>
      <w:r w:rsidR="00067139">
        <w:rPr>
          <w:rFonts w:eastAsia="Times New Roman" w:cs="Arial"/>
          <w:lang w:eastAsia="de-DE"/>
        </w:rPr>
        <w:t>ierbei sind</w:t>
      </w:r>
      <w:r w:rsidR="00FE7967">
        <w:rPr>
          <w:rFonts w:eastAsia="Times New Roman" w:cs="Arial"/>
          <w:lang w:eastAsia="de-DE"/>
        </w:rPr>
        <w:t xml:space="preserve"> die Elemente</w:t>
      </w:r>
      <w:r w:rsidR="00F7779B">
        <w:rPr>
          <w:rFonts w:eastAsia="Times New Roman" w:cs="Arial"/>
          <w:lang w:eastAsia="de-DE"/>
        </w:rPr>
        <w:t xml:space="preserve"> As</w:t>
      </w:r>
      <w:r w:rsidR="00F7779B">
        <w:rPr>
          <w:sz w:val="20"/>
          <w:szCs w:val="20"/>
        </w:rPr>
        <w:t xml:space="preserve">, </w:t>
      </w:r>
      <w:proofErr w:type="spellStart"/>
      <w:r w:rsidR="00F7779B" w:rsidRPr="00067139">
        <w:t>Sb</w:t>
      </w:r>
      <w:proofErr w:type="spellEnd"/>
      <w:r w:rsidR="00F7779B" w:rsidRPr="00067139">
        <w:t xml:space="preserve">, </w:t>
      </w:r>
      <w:proofErr w:type="spellStart"/>
      <w:r w:rsidR="00F7779B" w:rsidRPr="00067139">
        <w:t>Pb</w:t>
      </w:r>
      <w:proofErr w:type="spellEnd"/>
      <w:r w:rsidR="00F7779B" w:rsidRPr="00067139">
        <w:t xml:space="preserve">, </w:t>
      </w:r>
      <w:proofErr w:type="spellStart"/>
      <w:r w:rsidR="00F7779B" w:rsidRPr="00067139">
        <w:t>Cd</w:t>
      </w:r>
      <w:proofErr w:type="spellEnd"/>
      <w:r w:rsidR="00F7779B" w:rsidRPr="00067139">
        <w:t xml:space="preserve">, </w:t>
      </w:r>
      <w:proofErr w:type="spellStart"/>
      <w:r w:rsidR="00F7779B" w:rsidRPr="00067139">
        <w:t>Cr</w:t>
      </w:r>
      <w:proofErr w:type="spellEnd"/>
      <w:r w:rsidR="00F7779B" w:rsidRPr="00067139">
        <w:t xml:space="preserve">, </w:t>
      </w:r>
      <w:proofErr w:type="spellStart"/>
      <w:r w:rsidR="00F7779B" w:rsidRPr="00067139">
        <w:t>Cu</w:t>
      </w:r>
      <w:proofErr w:type="spellEnd"/>
      <w:r w:rsidR="00F7779B" w:rsidRPr="00067139">
        <w:t xml:space="preserve">, Mo, </w:t>
      </w:r>
      <w:proofErr w:type="spellStart"/>
      <w:r w:rsidR="00F7779B" w:rsidRPr="00067139">
        <w:t>Ni</w:t>
      </w:r>
      <w:proofErr w:type="spellEnd"/>
      <w:r w:rsidR="00F7779B" w:rsidRPr="00067139">
        <w:t xml:space="preserve">, V, W und </w:t>
      </w:r>
      <w:proofErr w:type="spellStart"/>
      <w:r w:rsidR="00F7779B" w:rsidRPr="00067139">
        <w:t>Zn</w:t>
      </w:r>
      <w:proofErr w:type="spellEnd"/>
      <w:r w:rsidR="00F7779B" w:rsidRPr="00067139">
        <w:t xml:space="preserve"> zu analysieren.</w:t>
      </w:r>
      <w:r w:rsidR="009E0C3C">
        <w:t xml:space="preserve"> Neben der Elementanalytik sind </w:t>
      </w:r>
      <w:r w:rsidR="00FC6226">
        <w:t xml:space="preserve">auch </w:t>
      </w:r>
      <w:r w:rsidR="009E0C3C">
        <w:t>Chlorid und Sulfat mittels Ionenchromatographie auf Basis der DIN 10304-1</w:t>
      </w:r>
      <w:r w:rsidR="009E0C3C">
        <w:rPr>
          <w:rStyle w:val="Funotenzeichen"/>
        </w:rPr>
        <w:footnoteReference w:id="9"/>
      </w:r>
      <w:r w:rsidR="009E0C3C">
        <w:t xml:space="preserve"> zu bestimmen.</w:t>
      </w:r>
      <w:r w:rsidR="008E7607">
        <w:t xml:space="preserve"> Die Bestimmung des pH-Wertes</w:t>
      </w:r>
      <w:r w:rsidR="00417D9F">
        <w:t xml:space="preserve"> (DIN </w:t>
      </w:r>
      <w:r w:rsidR="00D71003">
        <w:t>EN ISO 10523</w:t>
      </w:r>
      <w:r w:rsidR="00417D9F">
        <w:t>)</w:t>
      </w:r>
      <w:r w:rsidR="008E7607">
        <w:t xml:space="preserve"> und der elektrischen Leitfähigkeit</w:t>
      </w:r>
      <w:r w:rsidR="00417D9F">
        <w:t xml:space="preserve"> (DIN EN 27888)</w:t>
      </w:r>
      <w:r w:rsidR="008E7607">
        <w:t xml:space="preserve"> </w:t>
      </w:r>
      <w:r w:rsidR="00FE412F">
        <w:t xml:space="preserve">ist </w:t>
      </w:r>
      <w:r w:rsidR="00FC6226">
        <w:t xml:space="preserve">in den </w:t>
      </w:r>
      <w:proofErr w:type="spellStart"/>
      <w:r w:rsidR="00FC6226">
        <w:t>Eluaten</w:t>
      </w:r>
      <w:proofErr w:type="spellEnd"/>
      <w:r w:rsidR="00FC6226">
        <w:t xml:space="preserve"> </w:t>
      </w:r>
      <w:r w:rsidR="008E7607">
        <w:t>ebenfalls durchzuführen.</w:t>
      </w:r>
    </w:p>
    <w:p w:rsidR="00282B32" w:rsidRDefault="000252E4" w:rsidP="000252E4">
      <w:pPr>
        <w:spacing w:before="0" w:after="0" w:line="36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Um zu vergleichbaren naturwissenschaftlich gesicherten Aussagen zu kommen, ist es erforderlich die einzusetzenden Untersuchungsprobenmassen bei allen durchzuführenden Versuchen </w:t>
      </w:r>
      <w:r w:rsidR="00FC6226">
        <w:rPr>
          <w:rFonts w:eastAsia="Times New Roman" w:cs="Arial"/>
          <w:lang w:eastAsia="de-DE"/>
        </w:rPr>
        <w:t>konstant</w:t>
      </w:r>
      <w:r w:rsidR="00507BE1">
        <w:rPr>
          <w:rFonts w:eastAsia="Times New Roman" w:cs="Arial"/>
          <w:lang w:eastAsia="de-DE"/>
        </w:rPr>
        <w:t xml:space="preserve"> zu halten. Hierbei bestimmt die</w:t>
      </w:r>
      <w:r>
        <w:rPr>
          <w:rFonts w:eastAsia="Times New Roman" w:cs="Arial"/>
          <w:lang w:eastAsia="de-DE"/>
        </w:rPr>
        <w:t xml:space="preserve"> kleinste Materialmenge aus dem Versuch der DIN 19902 bei dem jeweiligen s/l-Verhältnis </w:t>
      </w:r>
      <w:r w:rsidR="00507BE1">
        <w:rPr>
          <w:rFonts w:eastAsia="Times New Roman" w:cs="Arial"/>
          <w:lang w:eastAsia="de-DE"/>
        </w:rPr>
        <w:t>die einzusetzende Materialmasse</w:t>
      </w:r>
      <w:r w:rsidR="00140769">
        <w:rPr>
          <w:rFonts w:eastAsia="Times New Roman" w:cs="Arial"/>
          <w:lang w:eastAsia="de-DE"/>
        </w:rPr>
        <w:t xml:space="preserve"> (90g)</w:t>
      </w:r>
      <w:r w:rsidR="00507BE1">
        <w:rPr>
          <w:rFonts w:eastAsia="Times New Roman" w:cs="Arial"/>
          <w:lang w:eastAsia="de-DE"/>
        </w:rPr>
        <w:t xml:space="preserve">, die der der DIN EN 12457-4 auch entspricht. </w:t>
      </w:r>
      <w:r>
        <w:rPr>
          <w:rFonts w:eastAsia="Times New Roman" w:cs="Arial"/>
          <w:lang w:eastAsia="de-DE"/>
        </w:rPr>
        <w:t xml:space="preserve">Eine weitere Randbedingung für die Vergleichbarkeit von Untersuchungsergebnissen muss für den Recyclingbaustoff Bunte Ware getroffen werden. Hier ist reales Material auf seine Zusammensetzung (Ziegelbruch; Betonbruch) durch Sortieren zu </w:t>
      </w:r>
      <w:r w:rsidR="007E75EF">
        <w:rPr>
          <w:rFonts w:eastAsia="Times New Roman" w:cs="Arial"/>
          <w:lang w:eastAsia="de-DE"/>
        </w:rPr>
        <w:t>„</w:t>
      </w:r>
      <w:r>
        <w:rPr>
          <w:rFonts w:eastAsia="Times New Roman" w:cs="Arial"/>
          <w:lang w:eastAsia="de-DE"/>
        </w:rPr>
        <w:t>analysieren</w:t>
      </w:r>
      <w:r w:rsidR="007E75EF">
        <w:rPr>
          <w:rFonts w:eastAsia="Times New Roman" w:cs="Arial"/>
          <w:lang w:eastAsia="de-DE"/>
        </w:rPr>
        <w:t>“</w:t>
      </w:r>
      <w:r>
        <w:rPr>
          <w:rFonts w:eastAsia="Times New Roman" w:cs="Arial"/>
          <w:lang w:eastAsia="de-DE"/>
        </w:rPr>
        <w:t xml:space="preserve"> und gemäß der ermittelten Zusammensetzung als „Modelluntersuchungsmaterial“ nach Abtrennen von Fremdanteilen </w:t>
      </w:r>
      <w:r w:rsidR="006D7C37">
        <w:rPr>
          <w:rFonts w:eastAsia="Times New Roman" w:cs="Arial"/>
          <w:lang w:eastAsia="de-DE"/>
        </w:rPr>
        <w:t xml:space="preserve">in seiner Zusammensetzung </w:t>
      </w:r>
      <w:r>
        <w:rPr>
          <w:rFonts w:eastAsia="Times New Roman" w:cs="Arial"/>
          <w:lang w:eastAsia="de-DE"/>
        </w:rPr>
        <w:t>zu „</w:t>
      </w:r>
      <w:proofErr w:type="spellStart"/>
      <w:r>
        <w:rPr>
          <w:rFonts w:eastAsia="Times New Roman" w:cs="Arial"/>
          <w:lang w:eastAsia="de-DE"/>
        </w:rPr>
        <w:t>rekonfigurieren</w:t>
      </w:r>
      <w:proofErr w:type="spellEnd"/>
      <w:r>
        <w:rPr>
          <w:rFonts w:eastAsia="Times New Roman" w:cs="Arial"/>
          <w:lang w:eastAsia="de-DE"/>
        </w:rPr>
        <w:t>“.</w:t>
      </w:r>
      <w:r w:rsidR="006D7C37">
        <w:rPr>
          <w:rFonts w:eastAsia="Times New Roman" w:cs="Arial"/>
          <w:lang w:eastAsia="de-DE"/>
        </w:rPr>
        <w:t xml:space="preserve"> Dieses </w:t>
      </w:r>
      <w:proofErr w:type="spellStart"/>
      <w:r w:rsidR="006D7C37">
        <w:rPr>
          <w:rFonts w:eastAsia="Times New Roman" w:cs="Arial"/>
          <w:lang w:eastAsia="de-DE"/>
        </w:rPr>
        <w:t>rekonfiguri</w:t>
      </w:r>
      <w:r w:rsidR="00FC6226">
        <w:rPr>
          <w:rFonts w:eastAsia="Times New Roman" w:cs="Arial"/>
          <w:lang w:eastAsia="de-DE"/>
        </w:rPr>
        <w:t>erte</w:t>
      </w:r>
      <w:proofErr w:type="spellEnd"/>
      <w:r w:rsidR="00FC6226">
        <w:rPr>
          <w:rFonts w:eastAsia="Times New Roman" w:cs="Arial"/>
          <w:lang w:eastAsia="de-DE"/>
        </w:rPr>
        <w:t xml:space="preserve"> Material ist dann für alle</w:t>
      </w:r>
      <w:r w:rsidR="006D7C37">
        <w:rPr>
          <w:rFonts w:eastAsia="Times New Roman" w:cs="Arial"/>
          <w:lang w:eastAsia="de-DE"/>
        </w:rPr>
        <w:t xml:space="preserve"> systematischen Untersuchungen in dieser „definierten Zusammensetzung</w:t>
      </w:r>
      <w:r w:rsidR="00FC6226">
        <w:rPr>
          <w:rFonts w:eastAsia="Times New Roman" w:cs="Arial"/>
          <w:lang w:eastAsia="de-DE"/>
        </w:rPr>
        <w:t>“</w:t>
      </w:r>
      <w:r w:rsidR="006D7C37">
        <w:rPr>
          <w:rFonts w:eastAsia="Times New Roman" w:cs="Arial"/>
          <w:lang w:eastAsia="de-DE"/>
        </w:rPr>
        <w:t xml:space="preserve"> einzusetzen.</w:t>
      </w:r>
    </w:p>
    <w:p w:rsidR="00C964F2" w:rsidRDefault="00C964F2">
      <w:pPr>
        <w:spacing w:before="0"/>
        <w:jc w:val="left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br w:type="page"/>
      </w:r>
    </w:p>
    <w:p w:rsidR="00B1169C" w:rsidRPr="003420F0" w:rsidRDefault="00CD5023" w:rsidP="003420F0">
      <w:pPr>
        <w:spacing w:before="0" w:after="0" w:line="360" w:lineRule="auto"/>
        <w:rPr>
          <w:rFonts w:eastAsia="Times New Roman" w:cs="Arial"/>
          <w:b/>
          <w:lang w:eastAsia="de-DE"/>
        </w:rPr>
      </w:pPr>
      <w:r w:rsidRPr="00F857AE">
        <w:rPr>
          <w:rFonts w:eastAsia="Times New Roman" w:cs="Arial"/>
          <w:b/>
          <w:lang w:eastAsia="de-DE"/>
        </w:rPr>
        <w:lastRenderedPageBreak/>
        <w:t>III. Untersuchungskonzept</w:t>
      </w:r>
      <w:r w:rsidR="00AD6943" w:rsidRPr="00F857AE">
        <w:rPr>
          <w:rFonts w:eastAsia="Times New Roman" w:cs="Arial"/>
          <w:b/>
          <w:lang w:eastAsia="de-DE"/>
        </w:rPr>
        <w:t xml:space="preserve"> im Einzelnen</w:t>
      </w:r>
    </w:p>
    <w:p w:rsidR="00AD6943" w:rsidRPr="001E7D8D" w:rsidRDefault="00AD6943" w:rsidP="008B443A">
      <w:pPr>
        <w:spacing w:before="0" w:after="0" w:line="360" w:lineRule="auto"/>
        <w:rPr>
          <w:rFonts w:eastAsia="Times New Roman" w:cs="Arial"/>
          <w:b/>
          <w:lang w:eastAsia="de-DE"/>
        </w:rPr>
      </w:pPr>
      <w:r w:rsidRPr="00F857AE">
        <w:rPr>
          <w:rFonts w:eastAsia="Times New Roman" w:cs="Arial"/>
          <w:u w:val="single"/>
          <w:lang w:eastAsia="de-DE"/>
        </w:rPr>
        <w:t>III.1</w:t>
      </w:r>
      <w:r w:rsidR="00775116">
        <w:rPr>
          <w:rFonts w:eastAsia="Times New Roman" w:cs="Arial"/>
          <w:u w:val="single"/>
          <w:lang w:eastAsia="de-DE"/>
        </w:rPr>
        <w:t>a</w:t>
      </w:r>
      <w:r w:rsidRPr="00F857AE">
        <w:rPr>
          <w:rFonts w:eastAsia="Times New Roman" w:cs="Arial"/>
          <w:u w:val="single"/>
          <w:lang w:eastAsia="de-DE"/>
        </w:rPr>
        <w:t xml:space="preserve"> Untersuchungen auf Gleichgewichtsbedingungen</w:t>
      </w:r>
    </w:p>
    <w:p w:rsidR="00B947C4" w:rsidRDefault="003420F0" w:rsidP="001E7D8D">
      <w:pPr>
        <w:spacing w:before="0" w:after="0" w:line="36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Für jeden der v</w:t>
      </w:r>
      <w:r w:rsidR="0098755D">
        <w:rPr>
          <w:rFonts w:eastAsia="Times New Roman" w:cs="Arial"/>
          <w:lang w:eastAsia="de-DE"/>
        </w:rPr>
        <w:t xml:space="preserve">. g. Materialtypen und der jeweils unten aufgeführten </w:t>
      </w:r>
      <w:proofErr w:type="spellStart"/>
      <w:r w:rsidR="0098755D">
        <w:rPr>
          <w:rFonts w:eastAsia="Times New Roman" w:cs="Arial"/>
          <w:lang w:eastAsia="de-DE"/>
        </w:rPr>
        <w:t>Stückigkeiten</w:t>
      </w:r>
      <w:proofErr w:type="spellEnd"/>
      <w:r w:rsidR="0098755D">
        <w:rPr>
          <w:rFonts w:eastAsia="Times New Roman" w:cs="Arial"/>
          <w:lang w:eastAsia="de-DE"/>
        </w:rPr>
        <w:t>/Körnigkeiten sind z</w:t>
      </w:r>
      <w:r w:rsidR="00CD2906">
        <w:rPr>
          <w:rFonts w:eastAsia="Times New Roman" w:cs="Arial"/>
          <w:lang w:eastAsia="de-DE"/>
        </w:rPr>
        <w:t>wecks Aufzeigen der</w:t>
      </w:r>
      <w:r w:rsidR="0098755D">
        <w:rPr>
          <w:rFonts w:eastAsia="Times New Roman" w:cs="Arial"/>
          <w:lang w:eastAsia="de-DE"/>
        </w:rPr>
        <w:t xml:space="preserve"> Kinetik des Löseprozesses </w:t>
      </w:r>
      <w:r w:rsidR="00CD2906">
        <w:rPr>
          <w:rFonts w:eastAsia="Times New Roman" w:cs="Arial"/>
          <w:lang w:eastAsia="de-DE"/>
        </w:rPr>
        <w:t>über einen</w:t>
      </w:r>
      <w:r w:rsidR="00775116">
        <w:rPr>
          <w:rFonts w:eastAsia="Times New Roman" w:cs="Arial"/>
          <w:lang w:eastAsia="de-DE"/>
        </w:rPr>
        <w:t xml:space="preserve"> Zeitraum von </w:t>
      </w:r>
      <w:r w:rsidR="002F33C6">
        <w:rPr>
          <w:rFonts w:eastAsia="Times New Roman" w:cs="Arial"/>
          <w:lang w:eastAsia="de-DE"/>
        </w:rPr>
        <w:t xml:space="preserve">mindestens </w:t>
      </w:r>
      <w:r w:rsidR="00775116">
        <w:rPr>
          <w:rFonts w:eastAsia="Times New Roman" w:cs="Arial"/>
          <w:lang w:eastAsia="de-DE"/>
        </w:rPr>
        <w:t>t=0,</w:t>
      </w:r>
      <w:r w:rsidR="002F33C6">
        <w:rPr>
          <w:rFonts w:eastAsia="Times New Roman" w:cs="Arial"/>
          <w:lang w:eastAsia="de-DE"/>
        </w:rPr>
        <w:t>2</w:t>
      </w:r>
      <w:r w:rsidR="00C0088C">
        <w:rPr>
          <w:rFonts w:eastAsia="Times New Roman" w:cs="Arial"/>
          <w:lang w:eastAsia="de-DE"/>
        </w:rPr>
        <w:t>5</w:t>
      </w:r>
      <w:r w:rsidR="00775116">
        <w:rPr>
          <w:rFonts w:eastAsia="Times New Roman" w:cs="Arial"/>
          <w:lang w:eastAsia="de-DE"/>
        </w:rPr>
        <w:t xml:space="preserve">h </w:t>
      </w:r>
      <w:r w:rsidR="00C0088C">
        <w:rPr>
          <w:rFonts w:eastAsia="Times New Roman" w:cs="Arial"/>
          <w:lang w:eastAsia="de-DE"/>
        </w:rPr>
        <w:t xml:space="preserve">über t=24h </w:t>
      </w:r>
      <w:r w:rsidR="00775116">
        <w:rPr>
          <w:rFonts w:eastAsia="Times New Roman" w:cs="Arial"/>
          <w:lang w:eastAsia="de-DE"/>
        </w:rPr>
        <w:t>bis t=26</w:t>
      </w:r>
      <w:r w:rsidR="002E468D">
        <w:rPr>
          <w:rFonts w:eastAsia="Times New Roman" w:cs="Arial"/>
          <w:lang w:eastAsia="de-DE"/>
        </w:rPr>
        <w:t>4</w:t>
      </w:r>
      <w:r w:rsidR="00775116">
        <w:rPr>
          <w:rFonts w:eastAsia="Times New Roman" w:cs="Arial"/>
          <w:lang w:eastAsia="de-DE"/>
        </w:rPr>
        <w:t xml:space="preserve">h </w:t>
      </w:r>
      <w:r>
        <w:rPr>
          <w:rFonts w:eastAsia="Times New Roman" w:cs="Arial"/>
          <w:lang w:eastAsia="de-DE"/>
        </w:rPr>
        <w:t xml:space="preserve">(11d) </w:t>
      </w:r>
      <w:proofErr w:type="spellStart"/>
      <w:r w:rsidR="00775116">
        <w:rPr>
          <w:rFonts w:eastAsia="Times New Roman" w:cs="Arial"/>
          <w:lang w:eastAsia="de-DE"/>
        </w:rPr>
        <w:t>Elutionsuntersuchungen</w:t>
      </w:r>
      <w:proofErr w:type="spellEnd"/>
      <w:r w:rsidR="00775116">
        <w:rPr>
          <w:rFonts w:eastAsia="Times New Roman" w:cs="Arial"/>
          <w:lang w:eastAsia="de-DE"/>
        </w:rPr>
        <w:t xml:space="preserve"> mit</w:t>
      </w:r>
      <w:r w:rsidR="00CD2906">
        <w:rPr>
          <w:rFonts w:eastAsia="Times New Roman" w:cs="Arial"/>
          <w:lang w:eastAsia="de-DE"/>
        </w:rPr>
        <w:t xml:space="preserve"> acht Parallelen durchzuführen. Die v. g. Versu</w:t>
      </w:r>
      <w:r>
        <w:rPr>
          <w:rFonts w:eastAsia="Times New Roman" w:cs="Arial"/>
          <w:lang w:eastAsia="de-DE"/>
        </w:rPr>
        <w:t>chsdauer soll gewährleisten,</w:t>
      </w:r>
      <w:r w:rsidR="00CD2906">
        <w:rPr>
          <w:rFonts w:eastAsia="Times New Roman" w:cs="Arial"/>
          <w:lang w:eastAsia="de-DE"/>
        </w:rPr>
        <w:t xml:space="preserve"> „</w:t>
      </w:r>
      <w:proofErr w:type="spellStart"/>
      <w:r w:rsidR="005B37D4">
        <w:rPr>
          <w:rFonts w:eastAsia="Times New Roman" w:cs="Arial"/>
          <w:lang w:eastAsia="de-DE"/>
        </w:rPr>
        <w:t>steady-s</w:t>
      </w:r>
      <w:r w:rsidR="00CD2906">
        <w:rPr>
          <w:rFonts w:eastAsia="Times New Roman" w:cs="Arial"/>
          <w:lang w:eastAsia="de-DE"/>
        </w:rPr>
        <w:t>tate-</w:t>
      </w:r>
      <w:r w:rsidR="005B37D4">
        <w:rPr>
          <w:rFonts w:eastAsia="Times New Roman" w:cs="Arial"/>
          <w:lang w:eastAsia="de-DE"/>
        </w:rPr>
        <w:t>c</w:t>
      </w:r>
      <w:r w:rsidR="00CD2906">
        <w:rPr>
          <w:rFonts w:eastAsia="Times New Roman" w:cs="Arial"/>
          <w:lang w:eastAsia="de-DE"/>
        </w:rPr>
        <w:t>onditions</w:t>
      </w:r>
      <w:proofErr w:type="spellEnd"/>
      <w:r w:rsidR="00CD2906">
        <w:rPr>
          <w:rFonts w:eastAsia="Times New Roman" w:cs="Arial"/>
          <w:lang w:eastAsia="de-DE"/>
        </w:rPr>
        <w:t>“ für jedes Ele</w:t>
      </w:r>
      <w:r w:rsidR="00DF3F8A">
        <w:rPr>
          <w:rFonts w:eastAsia="Times New Roman" w:cs="Arial"/>
          <w:lang w:eastAsia="de-DE"/>
        </w:rPr>
        <w:t xml:space="preserve">ment und </w:t>
      </w:r>
      <w:r w:rsidR="00B1169C">
        <w:rPr>
          <w:rFonts w:eastAsia="Times New Roman" w:cs="Arial"/>
          <w:lang w:eastAsia="de-DE"/>
        </w:rPr>
        <w:t>jeden</w:t>
      </w:r>
      <w:r w:rsidR="00DF3F8A">
        <w:rPr>
          <w:rFonts w:eastAsia="Times New Roman" w:cs="Arial"/>
          <w:lang w:eastAsia="de-DE"/>
        </w:rPr>
        <w:t xml:space="preserve"> Material</w:t>
      </w:r>
      <w:r w:rsidR="00B1169C">
        <w:rPr>
          <w:rFonts w:eastAsia="Times New Roman" w:cs="Arial"/>
          <w:lang w:eastAsia="de-DE"/>
        </w:rPr>
        <w:t>typ</w:t>
      </w:r>
      <w:r w:rsidR="00DF3F8A">
        <w:rPr>
          <w:rFonts w:eastAsia="Times New Roman" w:cs="Arial"/>
          <w:lang w:eastAsia="de-DE"/>
        </w:rPr>
        <w:t xml:space="preserve"> </w:t>
      </w:r>
      <w:r w:rsidR="002E468D">
        <w:rPr>
          <w:rFonts w:eastAsia="Times New Roman" w:cs="Arial"/>
          <w:lang w:eastAsia="de-DE"/>
        </w:rPr>
        <w:t xml:space="preserve">experimentell </w:t>
      </w:r>
      <w:r>
        <w:rPr>
          <w:rFonts w:eastAsia="Times New Roman" w:cs="Arial"/>
          <w:lang w:eastAsia="de-DE"/>
        </w:rPr>
        <w:t>aufzeigen zu</w:t>
      </w:r>
      <w:r w:rsidR="002E468D">
        <w:rPr>
          <w:rFonts w:eastAsia="Times New Roman" w:cs="Arial"/>
          <w:lang w:eastAsia="de-DE"/>
        </w:rPr>
        <w:t xml:space="preserve"> k</w:t>
      </w:r>
      <w:r w:rsidR="00B1169C">
        <w:rPr>
          <w:rFonts w:eastAsia="Times New Roman" w:cs="Arial"/>
          <w:lang w:eastAsia="de-DE"/>
        </w:rPr>
        <w:t>önnen</w:t>
      </w:r>
      <w:r w:rsidR="00CD2906">
        <w:rPr>
          <w:rFonts w:eastAsia="Times New Roman" w:cs="Arial"/>
          <w:lang w:eastAsia="de-DE"/>
        </w:rPr>
        <w:t>.</w:t>
      </w:r>
      <w:r w:rsidR="002F33C6">
        <w:rPr>
          <w:rFonts w:eastAsia="Times New Roman" w:cs="Arial"/>
          <w:lang w:eastAsia="de-DE"/>
        </w:rPr>
        <w:t xml:space="preserve"> Hierbe</w:t>
      </w:r>
      <w:r w:rsidR="00B947C4">
        <w:rPr>
          <w:rFonts w:eastAsia="Times New Roman" w:cs="Arial"/>
          <w:lang w:eastAsia="de-DE"/>
        </w:rPr>
        <w:t>i st</w:t>
      </w:r>
      <w:r w:rsidR="00746922">
        <w:rPr>
          <w:rFonts w:eastAsia="Times New Roman" w:cs="Arial"/>
          <w:lang w:eastAsia="de-DE"/>
        </w:rPr>
        <w:t>ehen zwei wesentliche Dinge im Vordergrund</w:t>
      </w:r>
      <w:r w:rsidR="00B947C4">
        <w:rPr>
          <w:rFonts w:eastAsia="Times New Roman" w:cs="Arial"/>
          <w:lang w:eastAsia="de-DE"/>
        </w:rPr>
        <w:t>.</w:t>
      </w:r>
      <w:r w:rsidR="002F33C6">
        <w:rPr>
          <w:rFonts w:eastAsia="Times New Roman" w:cs="Arial"/>
          <w:lang w:eastAsia="de-DE"/>
        </w:rPr>
        <w:t xml:space="preserve"> </w:t>
      </w:r>
      <w:r w:rsidR="00B947C4">
        <w:rPr>
          <w:rFonts w:eastAsia="Times New Roman" w:cs="Arial"/>
          <w:lang w:eastAsia="de-DE"/>
        </w:rPr>
        <w:t>Einerseits sind die</w:t>
      </w:r>
      <w:r w:rsidR="00BA4DBD">
        <w:rPr>
          <w:rFonts w:eastAsia="Times New Roman" w:cs="Arial"/>
          <w:lang w:eastAsia="de-DE"/>
        </w:rPr>
        <w:t xml:space="preserve"> </w:t>
      </w:r>
      <w:r w:rsidR="00B947C4">
        <w:rPr>
          <w:rFonts w:eastAsia="Times New Roman" w:cs="Arial"/>
          <w:lang w:eastAsia="de-DE"/>
        </w:rPr>
        <w:t xml:space="preserve">durch die </w:t>
      </w:r>
      <w:r w:rsidR="00BA4DBD">
        <w:rPr>
          <w:rFonts w:eastAsia="Times New Roman" w:cs="Arial"/>
          <w:lang w:eastAsia="de-DE"/>
        </w:rPr>
        <w:t>„</w:t>
      </w:r>
      <w:proofErr w:type="spellStart"/>
      <w:r w:rsidR="00746922">
        <w:rPr>
          <w:rFonts w:eastAsia="Times New Roman" w:cs="Arial"/>
          <w:lang w:eastAsia="de-DE"/>
        </w:rPr>
        <w:t>S</w:t>
      </w:r>
      <w:bookmarkStart w:id="0" w:name="_GoBack"/>
      <w:bookmarkEnd w:id="0"/>
      <w:r w:rsidR="00BA4DBD">
        <w:rPr>
          <w:rFonts w:eastAsia="Times New Roman" w:cs="Arial"/>
          <w:lang w:eastAsia="de-DE"/>
        </w:rPr>
        <w:t>teady-state-conditions</w:t>
      </w:r>
      <w:proofErr w:type="spellEnd"/>
      <w:r w:rsidR="00BA4DBD">
        <w:rPr>
          <w:rFonts w:eastAsia="Times New Roman" w:cs="Arial"/>
          <w:lang w:eastAsia="de-DE"/>
        </w:rPr>
        <w:t xml:space="preserve">“ </w:t>
      </w:r>
      <w:r w:rsidR="00570B03">
        <w:rPr>
          <w:rFonts w:eastAsia="Times New Roman" w:cs="Arial"/>
          <w:lang w:eastAsia="de-DE"/>
        </w:rPr>
        <w:t>zu erwartenden</w:t>
      </w:r>
      <w:r w:rsidR="00BA4DBD">
        <w:rPr>
          <w:rFonts w:eastAsia="Times New Roman" w:cs="Arial"/>
          <w:lang w:eastAsia="de-DE"/>
        </w:rPr>
        <w:t xml:space="preserve"> </w:t>
      </w:r>
      <w:r w:rsidR="00DA6830">
        <w:rPr>
          <w:rFonts w:eastAsia="Times New Roman" w:cs="Arial"/>
          <w:lang w:eastAsia="de-DE"/>
        </w:rPr>
        <w:t>Konzentrations-</w:t>
      </w:r>
      <w:r>
        <w:rPr>
          <w:rFonts w:eastAsia="Times New Roman" w:cs="Arial"/>
          <w:lang w:eastAsia="de-DE"/>
        </w:rPr>
        <w:t>Konvergenzbereiche</w:t>
      </w:r>
      <w:r w:rsidR="00B947C4">
        <w:rPr>
          <w:rFonts w:eastAsia="Times New Roman" w:cs="Arial"/>
          <w:lang w:eastAsia="de-DE"/>
        </w:rPr>
        <w:t xml:space="preserve"> mit ihrem</w:t>
      </w:r>
      <w:r w:rsidR="00507BE1">
        <w:rPr>
          <w:rFonts w:eastAsia="Times New Roman" w:cs="Arial"/>
          <w:lang w:eastAsia="de-DE"/>
        </w:rPr>
        <w:t xml:space="preserve"> </w:t>
      </w:r>
      <w:r w:rsidR="00B947C4">
        <w:rPr>
          <w:rFonts w:eastAsia="Times New Roman" w:cs="Arial"/>
          <w:lang w:eastAsia="de-DE"/>
        </w:rPr>
        <w:t xml:space="preserve">zugehörigen </w:t>
      </w:r>
      <w:r w:rsidR="00DA6830">
        <w:rPr>
          <w:rFonts w:eastAsia="Times New Roman" w:cs="Arial"/>
          <w:lang w:eastAsia="de-DE"/>
        </w:rPr>
        <w:t>Verlauf</w:t>
      </w:r>
      <w:r w:rsidR="002F33C6">
        <w:rPr>
          <w:rFonts w:eastAsia="Times New Roman" w:cs="Arial"/>
          <w:lang w:eastAsia="de-DE"/>
        </w:rPr>
        <w:t xml:space="preserve"> </w:t>
      </w:r>
      <w:r w:rsidR="00B947C4">
        <w:rPr>
          <w:rFonts w:eastAsia="Times New Roman" w:cs="Arial"/>
          <w:lang w:eastAsia="de-DE"/>
        </w:rPr>
        <w:t>möglichst gut aufzuzeigen und andererseits sind die zu Beginn des</w:t>
      </w:r>
      <w:r w:rsidR="00DA6830">
        <w:rPr>
          <w:rFonts w:eastAsia="Times New Roman" w:cs="Arial"/>
          <w:lang w:eastAsia="de-DE"/>
        </w:rPr>
        <w:t xml:space="preserve"> Versuchs </w:t>
      </w:r>
      <w:r w:rsidR="00570B03">
        <w:rPr>
          <w:rFonts w:eastAsia="Times New Roman" w:cs="Arial"/>
          <w:lang w:eastAsia="de-DE"/>
        </w:rPr>
        <w:t xml:space="preserve">ebenfalls </w:t>
      </w:r>
      <w:r w:rsidR="00DA6830">
        <w:rPr>
          <w:rFonts w:eastAsia="Times New Roman" w:cs="Arial"/>
          <w:lang w:eastAsia="de-DE"/>
        </w:rPr>
        <w:t>zu erwartenden steilen</w:t>
      </w:r>
      <w:r w:rsidR="00B947C4">
        <w:rPr>
          <w:rFonts w:eastAsia="Times New Roman" w:cs="Arial"/>
          <w:lang w:eastAsia="de-DE"/>
        </w:rPr>
        <w:t xml:space="preserve"> Konzentrations-Zeitverlaufs</w:t>
      </w:r>
      <w:r w:rsidR="00DA6830">
        <w:rPr>
          <w:rFonts w:eastAsia="Times New Roman" w:cs="Arial"/>
          <w:lang w:eastAsia="de-DE"/>
        </w:rPr>
        <w:t>entwicklungen der</w:t>
      </w:r>
      <w:r w:rsidR="00B947C4">
        <w:rPr>
          <w:rFonts w:eastAsia="Times New Roman" w:cs="Arial"/>
          <w:lang w:eastAsia="de-DE"/>
        </w:rPr>
        <w:t xml:space="preserve"> „ansteigende</w:t>
      </w:r>
      <w:r w:rsidR="00DA6830">
        <w:rPr>
          <w:rFonts w:eastAsia="Times New Roman" w:cs="Arial"/>
          <w:lang w:eastAsia="de-DE"/>
        </w:rPr>
        <w:t>n</w:t>
      </w:r>
      <w:r w:rsidR="002F33C6">
        <w:rPr>
          <w:rFonts w:eastAsia="Times New Roman" w:cs="Arial"/>
          <w:lang w:eastAsia="de-DE"/>
        </w:rPr>
        <w:t xml:space="preserve"> Flanke</w:t>
      </w:r>
      <w:r w:rsidR="00DA6830">
        <w:rPr>
          <w:rFonts w:eastAsia="Times New Roman" w:cs="Arial"/>
          <w:lang w:eastAsia="de-DE"/>
        </w:rPr>
        <w:t>n</w:t>
      </w:r>
      <w:r w:rsidR="002F33C6">
        <w:rPr>
          <w:rFonts w:eastAsia="Times New Roman" w:cs="Arial"/>
          <w:lang w:eastAsia="de-DE"/>
        </w:rPr>
        <w:t xml:space="preserve">“ </w:t>
      </w:r>
      <w:r w:rsidR="00DA6830">
        <w:rPr>
          <w:rFonts w:eastAsia="Times New Roman" w:cs="Arial"/>
          <w:lang w:eastAsia="de-DE"/>
        </w:rPr>
        <w:t>detai</w:t>
      </w:r>
      <w:r>
        <w:rPr>
          <w:rFonts w:eastAsia="Times New Roman" w:cs="Arial"/>
          <w:lang w:eastAsia="de-DE"/>
        </w:rPr>
        <w:t>lliert experimentell zu ermitteln.</w:t>
      </w:r>
      <w:r w:rsidR="00DA6830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 xml:space="preserve">Letzteres erfordert </w:t>
      </w:r>
      <w:r w:rsidR="00DA6830">
        <w:rPr>
          <w:rFonts w:eastAsia="Times New Roman" w:cs="Arial"/>
          <w:lang w:eastAsia="de-DE"/>
        </w:rPr>
        <w:t>eine enge zeitliche „Taktfrequenz“ bei der Versuchsplanung</w:t>
      </w:r>
      <w:r>
        <w:rPr>
          <w:rFonts w:eastAsia="Times New Roman" w:cs="Arial"/>
          <w:lang w:eastAsia="de-DE"/>
        </w:rPr>
        <w:t>, so dass</w:t>
      </w:r>
      <w:r w:rsidR="00DA6830">
        <w:rPr>
          <w:rFonts w:eastAsia="Times New Roman" w:cs="Arial"/>
          <w:lang w:eastAsia="de-DE"/>
        </w:rPr>
        <w:t xml:space="preserve"> </w:t>
      </w:r>
      <w:r w:rsidR="00570B03">
        <w:rPr>
          <w:rFonts w:eastAsia="Times New Roman" w:cs="Arial"/>
          <w:lang w:eastAsia="de-DE"/>
        </w:rPr>
        <w:t>unterhalb und oberhalb</w:t>
      </w:r>
      <w:r w:rsidR="00DA6830">
        <w:rPr>
          <w:rFonts w:eastAsia="Times New Roman" w:cs="Arial"/>
          <w:lang w:eastAsia="de-DE"/>
        </w:rPr>
        <w:t xml:space="preserve"> von t=0,25 h </w:t>
      </w:r>
      <w:r>
        <w:rPr>
          <w:rFonts w:eastAsia="Times New Roman" w:cs="Arial"/>
          <w:lang w:eastAsia="de-DE"/>
        </w:rPr>
        <w:t>Untersuchungen (Messpunkte) im fünfminütigen Takt erforderlich sein werden</w:t>
      </w:r>
      <w:r w:rsidR="00DA6830">
        <w:rPr>
          <w:rFonts w:eastAsia="Times New Roman" w:cs="Arial"/>
          <w:lang w:eastAsia="de-DE"/>
        </w:rPr>
        <w:t>.</w:t>
      </w:r>
    </w:p>
    <w:p w:rsidR="00DA6830" w:rsidRDefault="00DA6830" w:rsidP="008B443A">
      <w:pPr>
        <w:spacing w:before="0" w:after="0" w:line="360" w:lineRule="auto"/>
        <w:rPr>
          <w:rFonts w:eastAsia="Times New Roman" w:cs="Arial"/>
          <w:lang w:eastAsia="de-DE"/>
        </w:rPr>
      </w:pPr>
    </w:p>
    <w:p w:rsidR="00FB0E64" w:rsidRPr="001E7D8D" w:rsidRDefault="00AD6943" w:rsidP="008B443A">
      <w:pPr>
        <w:spacing w:before="0" w:after="0" w:line="36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I</w:t>
      </w:r>
      <w:r w:rsidR="00775116">
        <w:rPr>
          <w:rFonts w:eastAsia="Times New Roman" w:cs="Arial"/>
          <w:u w:val="single"/>
          <w:lang w:eastAsia="de-DE"/>
        </w:rPr>
        <w:t>II.1b</w:t>
      </w:r>
      <w:r w:rsidRPr="00405F5E">
        <w:rPr>
          <w:rFonts w:eastAsia="Times New Roman" w:cs="Arial"/>
          <w:u w:val="single"/>
          <w:lang w:eastAsia="de-DE"/>
        </w:rPr>
        <w:t xml:space="preserve"> Untersuchungen zum Einfluss der Körnigkeit</w:t>
      </w:r>
      <w:r w:rsidR="003E3614" w:rsidRPr="00405F5E">
        <w:rPr>
          <w:rFonts w:eastAsia="Times New Roman" w:cs="Arial"/>
          <w:u w:val="single"/>
          <w:lang w:eastAsia="de-DE"/>
        </w:rPr>
        <w:t>/</w:t>
      </w:r>
      <w:proofErr w:type="spellStart"/>
      <w:r w:rsidR="003E3614" w:rsidRPr="00405F5E">
        <w:rPr>
          <w:rFonts w:eastAsia="Times New Roman" w:cs="Arial"/>
          <w:u w:val="single"/>
          <w:lang w:eastAsia="de-DE"/>
        </w:rPr>
        <w:t>Stückigkeit</w:t>
      </w:r>
      <w:proofErr w:type="spellEnd"/>
    </w:p>
    <w:p w:rsidR="00D53EE1" w:rsidRDefault="00DF3F8A" w:rsidP="002527D1">
      <w:pPr>
        <w:rPr>
          <w:lang w:eastAsia="de-DE"/>
        </w:rPr>
      </w:pPr>
      <w:r>
        <w:rPr>
          <w:lang w:eastAsia="de-DE"/>
        </w:rPr>
        <w:t xml:space="preserve">Zur Untersuchung des Einflusses der </w:t>
      </w:r>
      <w:proofErr w:type="spellStart"/>
      <w:r>
        <w:rPr>
          <w:lang w:eastAsia="de-DE"/>
        </w:rPr>
        <w:t>Stückigkeit</w:t>
      </w:r>
      <w:proofErr w:type="spellEnd"/>
      <w:r>
        <w:rPr>
          <w:lang w:eastAsia="de-DE"/>
        </w:rPr>
        <w:t xml:space="preserve"> ist sortenreines </w:t>
      </w:r>
      <w:r w:rsidR="00E71DCF">
        <w:rPr>
          <w:lang w:eastAsia="de-DE"/>
        </w:rPr>
        <w:t xml:space="preserve">und definiertes </w:t>
      </w:r>
      <w:proofErr w:type="spellStart"/>
      <w:r w:rsidR="0001596F">
        <w:rPr>
          <w:lang w:eastAsia="de-DE"/>
        </w:rPr>
        <w:t>g</w:t>
      </w:r>
      <w:r w:rsidR="00AD6943">
        <w:rPr>
          <w:lang w:eastAsia="de-DE"/>
        </w:rPr>
        <w:t>robstückiges</w:t>
      </w:r>
      <w:proofErr w:type="spellEnd"/>
      <w:r w:rsidR="0001596F">
        <w:rPr>
          <w:lang w:eastAsia="de-DE"/>
        </w:rPr>
        <w:t xml:space="preserve">/körniges </w:t>
      </w:r>
      <w:r w:rsidR="00AD6943">
        <w:rPr>
          <w:lang w:eastAsia="de-DE"/>
        </w:rPr>
        <w:t xml:space="preserve"> Material</w:t>
      </w:r>
      <w:r>
        <w:rPr>
          <w:lang w:eastAsia="de-DE"/>
        </w:rPr>
        <w:t xml:space="preserve"> von</w:t>
      </w:r>
      <w:r w:rsidR="00D53EE1">
        <w:rPr>
          <w:lang w:eastAsia="de-DE"/>
        </w:rPr>
        <w:t>:</w:t>
      </w:r>
    </w:p>
    <w:p w:rsidR="00D53EE1" w:rsidRDefault="00D53EE1" w:rsidP="00D53EE1">
      <w:pPr>
        <w:pStyle w:val="Listenabsatz"/>
        <w:numPr>
          <w:ilvl w:val="0"/>
          <w:numId w:val="1"/>
        </w:numPr>
        <w:spacing w:before="0" w:after="0" w:line="360" w:lineRule="auto"/>
        <w:rPr>
          <w:rFonts w:eastAsia="Times New Roman" w:cs="Arial"/>
          <w:lang w:eastAsia="de-DE"/>
        </w:rPr>
      </w:pPr>
      <w:r w:rsidRPr="00D53EE1">
        <w:rPr>
          <w:rFonts w:eastAsia="Times New Roman" w:cs="Arial"/>
          <w:lang w:eastAsia="de-DE"/>
        </w:rPr>
        <w:t xml:space="preserve">32 mm </w:t>
      </w:r>
      <w:r w:rsidR="00312C4D" w:rsidRPr="00D53EE1">
        <w:rPr>
          <w:rFonts w:eastAsia="Times New Roman" w:cs="Arial"/>
          <w:lang w:eastAsia="de-DE"/>
        </w:rPr>
        <w:t>auf 10 mm</w:t>
      </w:r>
      <w:r w:rsidRPr="00D53EE1">
        <w:rPr>
          <w:rFonts w:eastAsia="Times New Roman" w:cs="Arial"/>
          <w:lang w:eastAsia="de-DE"/>
        </w:rPr>
        <w:t>,</w:t>
      </w:r>
    </w:p>
    <w:p w:rsidR="00D53EE1" w:rsidRDefault="00D53EE1" w:rsidP="008B443A">
      <w:pPr>
        <w:pStyle w:val="Listenabsatz"/>
        <w:numPr>
          <w:ilvl w:val="0"/>
          <w:numId w:val="1"/>
        </w:numPr>
        <w:spacing w:before="0" w:after="0" w:line="360" w:lineRule="auto"/>
        <w:rPr>
          <w:rFonts w:eastAsia="Times New Roman" w:cs="Arial"/>
          <w:lang w:eastAsia="de-DE"/>
        </w:rPr>
      </w:pPr>
      <w:r w:rsidRPr="00D53EE1">
        <w:rPr>
          <w:rFonts w:eastAsia="Times New Roman" w:cs="Arial"/>
          <w:lang w:eastAsia="de-DE"/>
        </w:rPr>
        <w:t>10 mm auf 2mm,</w:t>
      </w:r>
    </w:p>
    <w:p w:rsidR="00D53EE1" w:rsidRPr="00D53EE1" w:rsidRDefault="00D53EE1" w:rsidP="008B443A">
      <w:pPr>
        <w:pStyle w:val="Listenabsatz"/>
        <w:numPr>
          <w:ilvl w:val="0"/>
          <w:numId w:val="1"/>
        </w:numPr>
        <w:spacing w:before="0" w:after="0" w:line="36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2 mm auf 0,25mm,</w:t>
      </w:r>
    </w:p>
    <w:p w:rsidR="00D53EE1" w:rsidRDefault="00D53EE1" w:rsidP="008B443A">
      <w:pPr>
        <w:spacing w:before="0" w:after="0" w:line="360" w:lineRule="auto"/>
        <w:rPr>
          <w:rFonts w:eastAsia="Times New Roman" w:cs="Arial"/>
          <w:lang w:eastAsia="de-DE"/>
        </w:rPr>
      </w:pPr>
    </w:p>
    <w:p w:rsidR="00C0088C" w:rsidRDefault="002527D1" w:rsidP="00C0088C">
      <w:pPr>
        <w:spacing w:before="0" w:after="0" w:line="36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einzusetzen und ggf. </w:t>
      </w:r>
      <w:r w:rsidR="00312C4D">
        <w:rPr>
          <w:rFonts w:eastAsia="Times New Roman" w:cs="Arial"/>
          <w:lang w:eastAsia="de-DE"/>
        </w:rPr>
        <w:t>zu brechen</w:t>
      </w:r>
      <w:r w:rsidR="00EC5206">
        <w:rPr>
          <w:rFonts w:eastAsia="Times New Roman" w:cs="Arial"/>
          <w:lang w:eastAsia="de-DE"/>
        </w:rPr>
        <w:t>.</w:t>
      </w:r>
      <w:r w:rsidR="00F96380">
        <w:rPr>
          <w:rFonts w:eastAsia="Times New Roman" w:cs="Arial"/>
          <w:lang w:eastAsia="de-DE"/>
        </w:rPr>
        <w:t xml:space="preserve"> </w:t>
      </w:r>
    </w:p>
    <w:p w:rsidR="00C0088C" w:rsidRPr="00C0088C" w:rsidRDefault="00C0088C" w:rsidP="00C0088C">
      <w:pPr>
        <w:spacing w:before="0" w:after="0" w:line="360" w:lineRule="auto"/>
        <w:ind w:left="4248" w:hanging="2124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ANMERKUNG:</w:t>
      </w:r>
      <w:r>
        <w:rPr>
          <w:rFonts w:eastAsia="Times New Roman" w:cs="Arial"/>
          <w:lang w:eastAsia="de-DE"/>
        </w:rPr>
        <w:tab/>
        <w:t>Das „Ausgangsmaterial“ vom „Typ 32mm“ ist ausschließlich durch Siebung</w:t>
      </w:r>
      <w:r w:rsidR="00E71DCF">
        <w:rPr>
          <w:rFonts w:eastAsia="Times New Roman" w:cs="Arial"/>
          <w:lang w:eastAsia="de-DE"/>
        </w:rPr>
        <w:t xml:space="preserve"> und ggf. durch Sortierung, ohne zu brechen herzustellen</w:t>
      </w:r>
      <w:r>
        <w:rPr>
          <w:rFonts w:eastAsia="Times New Roman" w:cs="Arial"/>
          <w:lang w:eastAsia="de-DE"/>
        </w:rPr>
        <w:t>.</w:t>
      </w:r>
    </w:p>
    <w:p w:rsidR="00C0088C" w:rsidRDefault="00C0088C" w:rsidP="008B443A">
      <w:pPr>
        <w:spacing w:before="0" w:after="0" w:line="360" w:lineRule="auto"/>
        <w:rPr>
          <w:rFonts w:eastAsia="Times New Roman" w:cs="Arial"/>
          <w:lang w:eastAsia="de-DE"/>
        </w:rPr>
      </w:pPr>
    </w:p>
    <w:p w:rsidR="000552F3" w:rsidRDefault="00EC5206" w:rsidP="008B443A">
      <w:pPr>
        <w:spacing w:before="0" w:after="0" w:line="36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Entsprechende Kontrollsiebungen sind so durchzuführen, dass </w:t>
      </w:r>
      <w:r w:rsidR="00C02BF2">
        <w:rPr>
          <w:rFonts w:eastAsia="Times New Roman" w:cs="Arial"/>
          <w:lang w:eastAsia="de-DE"/>
        </w:rPr>
        <w:t>Material von</w:t>
      </w:r>
      <w:r>
        <w:rPr>
          <w:rFonts w:eastAsia="Times New Roman" w:cs="Arial"/>
          <w:lang w:eastAsia="de-DE"/>
        </w:rPr>
        <w:t xml:space="preserve"> möglichst einheitlicher Körnigkeit </w:t>
      </w:r>
      <w:r w:rsidR="003E3614">
        <w:rPr>
          <w:rFonts w:eastAsia="Times New Roman" w:cs="Arial"/>
          <w:lang w:eastAsia="de-DE"/>
        </w:rPr>
        <w:t>bei sehr</w:t>
      </w:r>
      <w:r>
        <w:rPr>
          <w:rFonts w:eastAsia="Times New Roman" w:cs="Arial"/>
          <w:lang w:eastAsia="de-DE"/>
        </w:rPr>
        <w:t xml:space="preserve"> engem Kornspektrum für die</w:t>
      </w:r>
      <w:r w:rsidR="00312C4D">
        <w:rPr>
          <w:rFonts w:eastAsia="Times New Roman" w:cs="Arial"/>
          <w:lang w:eastAsia="de-DE"/>
        </w:rPr>
        <w:t xml:space="preserve"> unter III.1</w:t>
      </w:r>
      <w:r w:rsidR="00775116">
        <w:rPr>
          <w:rFonts w:eastAsia="Times New Roman" w:cs="Arial"/>
          <w:lang w:eastAsia="de-DE"/>
        </w:rPr>
        <w:t>a</w:t>
      </w:r>
      <w:r w:rsidR="00312C4D">
        <w:rPr>
          <w:rFonts w:eastAsia="Times New Roman" w:cs="Arial"/>
          <w:lang w:eastAsia="de-DE"/>
        </w:rPr>
        <w:t xml:space="preserve"> beschriebenen Vorgehensweise </w:t>
      </w:r>
      <w:r>
        <w:rPr>
          <w:rFonts w:eastAsia="Times New Roman" w:cs="Arial"/>
          <w:lang w:eastAsia="de-DE"/>
        </w:rPr>
        <w:t xml:space="preserve">zur Verfügung steht, </w:t>
      </w:r>
      <w:r w:rsidR="00312C4D">
        <w:rPr>
          <w:rFonts w:eastAsia="Times New Roman" w:cs="Arial"/>
          <w:lang w:eastAsia="de-DE"/>
        </w:rPr>
        <w:t xml:space="preserve">wobei zu erwartende Konzentrationsunterschiede </w:t>
      </w:r>
      <w:r w:rsidR="00B1169C">
        <w:rPr>
          <w:rFonts w:eastAsia="Times New Roman" w:cs="Arial"/>
          <w:lang w:eastAsia="de-DE"/>
        </w:rPr>
        <w:t xml:space="preserve">über die </w:t>
      </w:r>
      <w:proofErr w:type="spellStart"/>
      <w:r w:rsidR="00B1169C">
        <w:rPr>
          <w:rFonts w:eastAsia="Times New Roman" w:cs="Arial"/>
          <w:lang w:eastAsia="de-DE"/>
        </w:rPr>
        <w:t>Elutionsdauer</w:t>
      </w:r>
      <w:proofErr w:type="spellEnd"/>
      <w:r w:rsidR="00B1169C">
        <w:rPr>
          <w:rFonts w:eastAsia="Times New Roman" w:cs="Arial"/>
          <w:lang w:eastAsia="de-DE"/>
        </w:rPr>
        <w:t xml:space="preserve"> </w:t>
      </w:r>
      <w:proofErr w:type="spellStart"/>
      <w:r w:rsidR="00B1169C">
        <w:rPr>
          <w:rFonts w:eastAsia="Times New Roman" w:cs="Arial"/>
          <w:lang w:eastAsia="de-DE"/>
        </w:rPr>
        <w:t>t</w:t>
      </w:r>
      <w:r w:rsidR="00B1169C" w:rsidRPr="00B1169C">
        <w:rPr>
          <w:rFonts w:eastAsia="Times New Roman" w:cs="Arial"/>
          <w:vertAlign w:val="subscript"/>
          <w:lang w:eastAsia="de-DE"/>
        </w:rPr>
        <w:t>x</w:t>
      </w:r>
      <w:proofErr w:type="spellEnd"/>
      <w:r w:rsidR="00B1169C">
        <w:rPr>
          <w:rFonts w:eastAsia="Times New Roman" w:cs="Arial"/>
          <w:lang w:eastAsia="de-DE"/>
        </w:rPr>
        <w:t xml:space="preserve"> </w:t>
      </w:r>
      <w:r w:rsidR="00312C4D">
        <w:rPr>
          <w:rFonts w:eastAsia="Times New Roman" w:cs="Arial"/>
          <w:lang w:eastAsia="de-DE"/>
        </w:rPr>
        <w:t xml:space="preserve">aufgezeigt werden sollen. </w:t>
      </w:r>
    </w:p>
    <w:p w:rsidR="00FB0E64" w:rsidRPr="003A18B7" w:rsidRDefault="00312C4D" w:rsidP="008B443A">
      <w:pPr>
        <w:spacing w:before="0" w:after="0" w:line="36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Hierfür ist das Anfangsintervall der Zeitabhängigkeit </w:t>
      </w:r>
      <w:r w:rsidR="0001596F">
        <w:rPr>
          <w:rFonts w:eastAsia="Times New Roman" w:cs="Arial"/>
          <w:lang w:eastAsia="de-DE"/>
        </w:rPr>
        <w:t>in der Form zu verdichten, dass der</w:t>
      </w:r>
      <w:r>
        <w:rPr>
          <w:rFonts w:eastAsia="Times New Roman" w:cs="Arial"/>
          <w:lang w:eastAsia="de-DE"/>
        </w:rPr>
        <w:t xml:space="preserve"> </w:t>
      </w:r>
      <w:r w:rsidR="0001596F">
        <w:rPr>
          <w:rFonts w:eastAsia="Times New Roman" w:cs="Arial"/>
          <w:lang w:eastAsia="de-DE"/>
        </w:rPr>
        <w:t>zu erwartende steile</w:t>
      </w:r>
      <w:r>
        <w:rPr>
          <w:rFonts w:eastAsia="Times New Roman" w:cs="Arial"/>
          <w:lang w:eastAsia="de-DE"/>
        </w:rPr>
        <w:t xml:space="preserve"> Anstieg des Konzen</w:t>
      </w:r>
      <w:r w:rsidR="00EC5206">
        <w:rPr>
          <w:rFonts w:eastAsia="Times New Roman" w:cs="Arial"/>
          <w:lang w:eastAsia="de-DE"/>
        </w:rPr>
        <w:t>trationsverlaufs bestens</w:t>
      </w:r>
      <w:r w:rsidR="0001596F">
        <w:rPr>
          <w:rFonts w:eastAsia="Times New Roman" w:cs="Arial"/>
          <w:lang w:eastAsia="de-DE"/>
        </w:rPr>
        <w:t xml:space="preserve"> dokumentiert</w:t>
      </w:r>
      <w:r w:rsidR="00B1169C">
        <w:rPr>
          <w:rFonts w:eastAsia="Times New Roman" w:cs="Arial"/>
          <w:lang w:eastAsia="de-DE"/>
        </w:rPr>
        <w:t>,</w:t>
      </w:r>
      <w:r w:rsidR="0001596F">
        <w:rPr>
          <w:rFonts w:eastAsia="Times New Roman" w:cs="Arial"/>
          <w:lang w:eastAsia="de-DE"/>
        </w:rPr>
        <w:t xml:space="preserve"> ausgewertet </w:t>
      </w:r>
      <w:r w:rsidR="00B1169C">
        <w:rPr>
          <w:rFonts w:eastAsia="Times New Roman" w:cs="Arial"/>
          <w:lang w:eastAsia="de-DE"/>
        </w:rPr>
        <w:t xml:space="preserve">und interpretiert </w:t>
      </w:r>
      <w:r w:rsidR="0001596F">
        <w:rPr>
          <w:rFonts w:eastAsia="Times New Roman" w:cs="Arial"/>
          <w:lang w:eastAsia="de-DE"/>
        </w:rPr>
        <w:t>werden kann</w:t>
      </w:r>
      <w:r w:rsidR="00602CD6">
        <w:rPr>
          <w:rFonts w:eastAsia="Times New Roman" w:cs="Arial"/>
          <w:lang w:eastAsia="de-DE"/>
        </w:rPr>
        <w:t xml:space="preserve"> (vgl. III.1a)</w:t>
      </w:r>
      <w:r>
        <w:rPr>
          <w:rFonts w:eastAsia="Times New Roman" w:cs="Arial"/>
          <w:lang w:eastAsia="de-DE"/>
        </w:rPr>
        <w:t>.</w:t>
      </w:r>
      <w:r w:rsidR="00CD217C">
        <w:rPr>
          <w:rFonts w:eastAsia="Times New Roman" w:cs="Arial"/>
          <w:lang w:eastAsia="de-DE"/>
        </w:rPr>
        <w:t xml:space="preserve"> </w:t>
      </w:r>
      <w:r w:rsidR="00BD0A4F" w:rsidRPr="00602CD6">
        <w:rPr>
          <w:rFonts w:eastAsia="Times New Roman" w:cs="Arial"/>
          <w:u w:val="single"/>
          <w:lang w:eastAsia="de-DE"/>
        </w:rPr>
        <w:t>V</w:t>
      </w:r>
      <w:r w:rsidR="003A18B7" w:rsidRPr="00602CD6">
        <w:rPr>
          <w:rFonts w:eastAsia="Times New Roman" w:cs="Arial"/>
          <w:u w:val="single"/>
          <w:lang w:eastAsia="de-DE"/>
        </w:rPr>
        <w:t xml:space="preserve">or </w:t>
      </w:r>
      <w:r w:rsidR="00BD0A4F" w:rsidRPr="00602CD6">
        <w:rPr>
          <w:rFonts w:eastAsia="Times New Roman" w:cs="Arial"/>
          <w:u w:val="single"/>
          <w:lang w:eastAsia="de-DE"/>
        </w:rPr>
        <w:t>und nach</w:t>
      </w:r>
      <w:r w:rsidR="00BD0A4F">
        <w:rPr>
          <w:rFonts w:eastAsia="Times New Roman" w:cs="Arial"/>
          <w:lang w:eastAsia="de-DE"/>
        </w:rPr>
        <w:t xml:space="preserve"> den </w:t>
      </w:r>
      <w:proofErr w:type="spellStart"/>
      <w:r w:rsidR="003A18B7">
        <w:rPr>
          <w:rFonts w:eastAsia="Times New Roman" w:cs="Arial"/>
          <w:lang w:eastAsia="de-DE"/>
        </w:rPr>
        <w:t>Elutionsversuchen</w:t>
      </w:r>
      <w:proofErr w:type="spellEnd"/>
      <w:r w:rsidR="003A18B7">
        <w:rPr>
          <w:rFonts w:eastAsia="Times New Roman" w:cs="Arial"/>
          <w:lang w:eastAsia="de-DE"/>
        </w:rPr>
        <w:t xml:space="preserve"> </w:t>
      </w:r>
      <w:r w:rsidR="00BD0A4F">
        <w:rPr>
          <w:rFonts w:eastAsia="Times New Roman" w:cs="Arial"/>
          <w:lang w:eastAsia="de-DE"/>
        </w:rPr>
        <w:t>ist von jedem Untersuchungs</w:t>
      </w:r>
      <w:r w:rsidR="00596027">
        <w:rPr>
          <w:rFonts w:eastAsia="Times New Roman" w:cs="Arial"/>
          <w:lang w:eastAsia="de-DE"/>
        </w:rPr>
        <w:t>proben</w:t>
      </w:r>
      <w:r w:rsidR="00BD0A4F">
        <w:rPr>
          <w:rFonts w:eastAsia="Times New Roman" w:cs="Arial"/>
          <w:lang w:eastAsia="de-DE"/>
        </w:rPr>
        <w:t xml:space="preserve">material </w:t>
      </w:r>
      <w:r w:rsidR="00596027">
        <w:rPr>
          <w:rFonts w:eastAsia="Times New Roman" w:cs="Arial"/>
          <w:lang w:eastAsia="de-DE"/>
        </w:rPr>
        <w:t xml:space="preserve">nach </w:t>
      </w:r>
      <w:r w:rsidR="0001596F">
        <w:rPr>
          <w:rFonts w:eastAsia="Times New Roman" w:cs="Arial"/>
          <w:lang w:eastAsia="de-DE"/>
        </w:rPr>
        <w:t>der jeweiligen</w:t>
      </w:r>
      <w:r w:rsidR="00BD0A4F">
        <w:rPr>
          <w:rFonts w:eastAsia="Times New Roman" w:cs="Arial"/>
          <w:lang w:eastAsia="de-DE"/>
        </w:rPr>
        <w:t xml:space="preserve"> Zeitspanne </w:t>
      </w:r>
      <w:proofErr w:type="spellStart"/>
      <w:r w:rsidR="00BD0A4F">
        <w:rPr>
          <w:rFonts w:eastAsia="Times New Roman" w:cs="Arial"/>
          <w:lang w:eastAsia="de-DE"/>
        </w:rPr>
        <w:t>t</w:t>
      </w:r>
      <w:r w:rsidR="00BD0A4F" w:rsidRPr="00596027">
        <w:rPr>
          <w:rFonts w:eastAsia="Times New Roman" w:cs="Arial"/>
          <w:vertAlign w:val="subscript"/>
          <w:lang w:eastAsia="de-DE"/>
        </w:rPr>
        <w:t>x</w:t>
      </w:r>
      <w:proofErr w:type="spellEnd"/>
      <w:r w:rsidR="00BD0A4F">
        <w:rPr>
          <w:rFonts w:eastAsia="Times New Roman" w:cs="Arial"/>
          <w:lang w:eastAsia="de-DE"/>
        </w:rPr>
        <w:t xml:space="preserve"> die spezifische Oberfläche</w:t>
      </w:r>
      <w:r w:rsidR="003A18B7">
        <w:rPr>
          <w:rFonts w:eastAsia="Times New Roman" w:cs="Arial"/>
          <w:lang w:eastAsia="de-DE"/>
        </w:rPr>
        <w:t xml:space="preserve"> </w:t>
      </w:r>
      <w:r w:rsidR="00EC5206">
        <w:rPr>
          <w:rFonts w:eastAsia="Times New Roman" w:cs="Arial"/>
          <w:lang w:eastAsia="de-DE"/>
        </w:rPr>
        <w:lastRenderedPageBreak/>
        <w:t xml:space="preserve">des Feststoffes </w:t>
      </w:r>
      <w:r w:rsidR="003A18B7">
        <w:rPr>
          <w:rFonts w:eastAsia="Times New Roman" w:cs="Arial"/>
          <w:lang w:eastAsia="de-DE"/>
        </w:rPr>
        <w:t>nach BET</w:t>
      </w:r>
      <w:r w:rsidR="00EC5206">
        <w:rPr>
          <w:rStyle w:val="Funotenzeichen"/>
          <w:rFonts w:eastAsia="Times New Roman" w:cs="Arial"/>
          <w:lang w:eastAsia="de-DE"/>
        </w:rPr>
        <w:footnoteReference w:id="10"/>
      </w:r>
      <w:r w:rsidR="003A18B7">
        <w:rPr>
          <w:rFonts w:eastAsia="Times New Roman" w:cs="Arial"/>
          <w:lang w:eastAsia="de-DE"/>
        </w:rPr>
        <w:t xml:space="preserve"> in [m²/g] </w:t>
      </w:r>
      <w:r w:rsidR="00E71DCF">
        <w:rPr>
          <w:rFonts w:eastAsia="Times New Roman" w:cs="Arial"/>
          <w:lang w:eastAsia="de-DE"/>
        </w:rPr>
        <w:t xml:space="preserve">zusätzlich </w:t>
      </w:r>
      <w:r w:rsidR="0001596F">
        <w:rPr>
          <w:rFonts w:eastAsia="Times New Roman" w:cs="Arial"/>
          <w:lang w:eastAsia="de-DE"/>
        </w:rPr>
        <w:t>zu ermitteln</w:t>
      </w:r>
      <w:r w:rsidR="000552F3">
        <w:rPr>
          <w:rFonts w:eastAsia="Times New Roman" w:cs="Arial"/>
          <w:lang w:eastAsia="de-DE"/>
        </w:rPr>
        <w:t>. Hierdurch soll</w:t>
      </w:r>
      <w:r w:rsidR="00BD0A4F">
        <w:rPr>
          <w:rFonts w:eastAsia="Times New Roman" w:cs="Arial"/>
          <w:lang w:eastAsia="de-DE"/>
        </w:rPr>
        <w:t xml:space="preserve"> evtl. Abrieb</w:t>
      </w:r>
      <w:r w:rsidR="0001596F">
        <w:rPr>
          <w:rFonts w:eastAsia="Times New Roman" w:cs="Arial"/>
          <w:lang w:eastAsia="de-DE"/>
        </w:rPr>
        <w:t xml:space="preserve"> (Veränderung in der Kornverteilung)</w:t>
      </w:r>
      <w:r w:rsidR="00BD0A4F">
        <w:rPr>
          <w:rFonts w:eastAsia="Times New Roman" w:cs="Arial"/>
          <w:lang w:eastAsia="de-DE"/>
        </w:rPr>
        <w:t xml:space="preserve"> </w:t>
      </w:r>
      <w:r w:rsidR="0001596F">
        <w:rPr>
          <w:rFonts w:eastAsia="Times New Roman" w:cs="Arial"/>
          <w:lang w:eastAsia="de-DE"/>
        </w:rPr>
        <w:t xml:space="preserve">quantifizierbar </w:t>
      </w:r>
      <w:r w:rsidR="000552F3">
        <w:rPr>
          <w:rFonts w:eastAsia="Times New Roman" w:cs="Arial"/>
          <w:lang w:eastAsia="de-DE"/>
        </w:rPr>
        <w:t>werden</w:t>
      </w:r>
      <w:r w:rsidR="00D91DA7">
        <w:rPr>
          <w:rFonts w:eastAsia="Times New Roman" w:cs="Arial"/>
          <w:lang w:eastAsia="de-DE"/>
        </w:rPr>
        <w:t xml:space="preserve"> </w:t>
      </w:r>
      <w:r w:rsidR="00596027">
        <w:rPr>
          <w:rFonts w:eastAsia="Times New Roman" w:cs="Arial"/>
          <w:lang w:eastAsia="de-DE"/>
        </w:rPr>
        <w:t xml:space="preserve">und </w:t>
      </w:r>
      <w:r w:rsidR="00FE4011">
        <w:rPr>
          <w:rFonts w:eastAsia="Times New Roman" w:cs="Arial"/>
          <w:lang w:eastAsia="de-DE"/>
        </w:rPr>
        <w:t xml:space="preserve">für </w:t>
      </w:r>
      <w:r w:rsidR="0001596F">
        <w:rPr>
          <w:rFonts w:eastAsia="Times New Roman" w:cs="Arial"/>
          <w:lang w:eastAsia="de-DE"/>
        </w:rPr>
        <w:t xml:space="preserve">die Ergebnisauswertung </w:t>
      </w:r>
      <w:proofErr w:type="spellStart"/>
      <w:r w:rsidR="0001596F">
        <w:rPr>
          <w:rFonts w:eastAsia="Times New Roman" w:cs="Arial"/>
          <w:lang w:eastAsia="de-DE"/>
        </w:rPr>
        <w:t>einbez</w:t>
      </w:r>
      <w:r w:rsidR="00FE4011">
        <w:rPr>
          <w:rFonts w:eastAsia="Times New Roman" w:cs="Arial"/>
          <w:lang w:eastAsia="de-DE"/>
        </w:rPr>
        <w:t>iehbar</w:t>
      </w:r>
      <w:proofErr w:type="spellEnd"/>
      <w:r w:rsidR="000552F3">
        <w:rPr>
          <w:rFonts w:eastAsia="Times New Roman" w:cs="Arial"/>
          <w:lang w:eastAsia="de-DE"/>
        </w:rPr>
        <w:t xml:space="preserve"> werden</w:t>
      </w:r>
      <w:r w:rsidR="00BD0A4F">
        <w:rPr>
          <w:rFonts w:eastAsia="Times New Roman" w:cs="Arial"/>
          <w:lang w:eastAsia="de-DE"/>
        </w:rPr>
        <w:t>.</w:t>
      </w:r>
      <w:r w:rsidR="00C0088C">
        <w:rPr>
          <w:rFonts w:eastAsia="Times New Roman" w:cs="Arial"/>
          <w:lang w:eastAsia="de-DE"/>
        </w:rPr>
        <w:t xml:space="preserve"> </w:t>
      </w:r>
    </w:p>
    <w:p w:rsidR="00FB0E64" w:rsidRDefault="00FB0E64" w:rsidP="008B443A">
      <w:pPr>
        <w:spacing w:before="0" w:after="0" w:line="360" w:lineRule="auto"/>
        <w:rPr>
          <w:rFonts w:eastAsia="Times New Roman" w:cs="Arial"/>
          <w:lang w:eastAsia="de-DE"/>
        </w:rPr>
      </w:pPr>
    </w:p>
    <w:p w:rsidR="00602CD6" w:rsidRPr="00602CD6" w:rsidRDefault="00602CD6" w:rsidP="00602CD6">
      <w:pPr>
        <w:rPr>
          <w:lang w:eastAsia="de-DE"/>
        </w:rPr>
      </w:pPr>
    </w:p>
    <w:p w:rsidR="00FB0E64" w:rsidRPr="00E15FF6" w:rsidRDefault="00F857AE" w:rsidP="008B443A">
      <w:pPr>
        <w:spacing w:before="0" w:after="0" w:line="360" w:lineRule="auto"/>
        <w:rPr>
          <w:rFonts w:eastAsia="Times New Roman" w:cs="Arial"/>
          <w:u w:val="single"/>
          <w:lang w:eastAsia="de-DE"/>
        </w:rPr>
      </w:pPr>
      <w:r w:rsidRPr="00E15FF6">
        <w:rPr>
          <w:rFonts w:eastAsia="Times New Roman" w:cs="Arial"/>
          <w:u w:val="single"/>
          <w:lang w:eastAsia="de-DE"/>
        </w:rPr>
        <w:t>III</w:t>
      </w:r>
      <w:r w:rsidR="00250FE8" w:rsidRPr="00E15FF6">
        <w:rPr>
          <w:rFonts w:eastAsia="Times New Roman" w:cs="Arial"/>
          <w:u w:val="single"/>
          <w:lang w:eastAsia="de-DE"/>
        </w:rPr>
        <w:t>.</w:t>
      </w:r>
      <w:r w:rsidR="00775116" w:rsidRPr="00E15FF6">
        <w:rPr>
          <w:rFonts w:eastAsia="Times New Roman" w:cs="Arial"/>
          <w:u w:val="single"/>
          <w:lang w:eastAsia="de-DE"/>
        </w:rPr>
        <w:t>2</w:t>
      </w:r>
      <w:r w:rsidRPr="00E15FF6">
        <w:rPr>
          <w:rFonts w:eastAsia="Times New Roman" w:cs="Arial"/>
          <w:u w:val="single"/>
          <w:lang w:eastAsia="de-DE"/>
        </w:rPr>
        <w:t xml:space="preserve"> Spezielle verfahrenstechnische Untersuchungen</w:t>
      </w:r>
    </w:p>
    <w:p w:rsidR="000A19BC" w:rsidRDefault="000A19BC" w:rsidP="000A19BC">
      <w:pPr>
        <w:spacing w:line="360" w:lineRule="auto"/>
        <w:rPr>
          <w:lang w:eastAsia="de-DE"/>
        </w:rPr>
      </w:pPr>
      <w:r>
        <w:rPr>
          <w:lang w:eastAsia="de-DE"/>
        </w:rPr>
        <w:t xml:space="preserve">Materialien mit einer </w:t>
      </w:r>
      <w:proofErr w:type="spellStart"/>
      <w:r>
        <w:rPr>
          <w:lang w:eastAsia="de-DE"/>
        </w:rPr>
        <w:t>Stückigkeit</w:t>
      </w:r>
      <w:proofErr w:type="spellEnd"/>
      <w:r>
        <w:rPr>
          <w:lang w:eastAsia="de-DE"/>
        </w:rPr>
        <w:t xml:space="preserve"> von 32 mm sind zu brechen und anschließend daraus die Körnung 16/32 mm abzutrennen und in dem Mengenverhältnis zu untersuchen, wie der Anteil 32 mm als Ausgangsmenge </w:t>
      </w:r>
      <w:r w:rsidR="00250FE8">
        <w:rPr>
          <w:lang w:eastAsia="de-DE"/>
        </w:rPr>
        <w:t>zugrunde lag</w:t>
      </w:r>
      <w:r>
        <w:rPr>
          <w:lang w:eastAsia="de-DE"/>
        </w:rPr>
        <w:t xml:space="preserve">. </w:t>
      </w:r>
    </w:p>
    <w:p w:rsidR="000A19BC" w:rsidRDefault="000A19BC" w:rsidP="000A19BC">
      <w:pPr>
        <w:spacing w:before="0" w:after="0" w:line="36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Als </w:t>
      </w:r>
      <w:proofErr w:type="spellStart"/>
      <w:r>
        <w:rPr>
          <w:rFonts w:eastAsia="Times New Roman" w:cs="Arial"/>
          <w:lang w:eastAsia="de-DE"/>
        </w:rPr>
        <w:t>Elutionsmethoden</w:t>
      </w:r>
      <w:proofErr w:type="spellEnd"/>
      <w:r>
        <w:rPr>
          <w:rFonts w:eastAsia="Times New Roman" w:cs="Arial"/>
          <w:lang w:eastAsia="de-DE"/>
        </w:rPr>
        <w:t xml:space="preserve"> sind </w:t>
      </w:r>
      <w:r w:rsidR="007337C7">
        <w:rPr>
          <w:rFonts w:eastAsia="Times New Roman" w:cs="Arial"/>
          <w:lang w:eastAsia="de-DE"/>
        </w:rPr>
        <w:t xml:space="preserve">auch hier </w:t>
      </w:r>
      <w:r>
        <w:rPr>
          <w:rFonts w:eastAsia="Times New Roman" w:cs="Arial"/>
          <w:lang w:eastAsia="de-DE"/>
        </w:rPr>
        <w:t>die DIN EN 12457-4</w:t>
      </w:r>
      <w:r>
        <w:rPr>
          <w:rStyle w:val="Funotenzeichen"/>
          <w:rFonts w:eastAsia="Times New Roman" w:cs="Arial"/>
          <w:lang w:eastAsia="de-DE"/>
        </w:rPr>
        <w:footnoteReference w:id="11"/>
      </w:r>
      <w:r>
        <w:rPr>
          <w:rFonts w:eastAsia="Times New Roman" w:cs="Arial"/>
          <w:lang w:eastAsia="de-DE"/>
        </w:rPr>
        <w:t xml:space="preserve"> (s/l=1:10), die DIN 19902</w:t>
      </w:r>
      <w:r>
        <w:rPr>
          <w:rStyle w:val="Funotenzeichen"/>
          <w:rFonts w:eastAsia="Times New Roman" w:cs="Arial"/>
          <w:lang w:eastAsia="de-DE"/>
        </w:rPr>
        <w:footnoteReference w:id="12"/>
      </w:r>
      <w:r>
        <w:rPr>
          <w:rFonts w:eastAsia="Times New Roman" w:cs="Arial"/>
          <w:lang w:eastAsia="de-DE"/>
        </w:rPr>
        <w:t>(s/l=1:10; s/l=1:2), sowie die DIN 19529</w:t>
      </w:r>
      <w:r>
        <w:rPr>
          <w:rStyle w:val="Funotenzeichen"/>
          <w:rFonts w:eastAsia="Times New Roman" w:cs="Arial"/>
          <w:lang w:eastAsia="de-DE"/>
        </w:rPr>
        <w:footnoteReference w:id="13"/>
      </w:r>
      <w:r>
        <w:rPr>
          <w:rFonts w:eastAsia="Times New Roman" w:cs="Arial"/>
          <w:lang w:eastAsia="de-DE"/>
        </w:rPr>
        <w:t xml:space="preserve"> (s/l=1:2) im Methodenvergleich anzuwenden. Wobei die DIN 19902 sowohl mit s/l=1:10 als auch mit s/l=1:2 Anwendung finden soll. </w:t>
      </w:r>
    </w:p>
    <w:p w:rsidR="000A19BC" w:rsidRDefault="000A19BC" w:rsidP="000A19BC">
      <w:pPr>
        <w:spacing w:before="0" w:after="0" w:line="36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Um zu belastbaren und statistisch auswertbaren Ergebnissen zu gelangen sind </w:t>
      </w:r>
      <w:r w:rsidR="00602CD6">
        <w:rPr>
          <w:rFonts w:eastAsia="Times New Roman" w:cs="Arial"/>
          <w:lang w:eastAsia="de-DE"/>
        </w:rPr>
        <w:t xml:space="preserve">wieder </w:t>
      </w:r>
      <w:r>
        <w:rPr>
          <w:rFonts w:eastAsia="Times New Roman" w:cs="Arial"/>
          <w:lang w:eastAsia="de-DE"/>
        </w:rPr>
        <w:t>Untersuchungen an acht Parallelen durchzuführen.</w:t>
      </w:r>
    </w:p>
    <w:p w:rsidR="000A19BC" w:rsidRPr="00067139" w:rsidRDefault="000A19BC" w:rsidP="000A19BC">
      <w:pPr>
        <w:spacing w:before="0" w:after="0" w:line="36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Die Elementanalytik sollte auf Basis der DIN ISO 22036</w:t>
      </w:r>
      <w:r>
        <w:rPr>
          <w:rStyle w:val="Funotenzeichen"/>
          <w:rFonts w:eastAsia="Times New Roman" w:cs="Arial"/>
          <w:lang w:eastAsia="de-DE"/>
        </w:rPr>
        <w:footnoteReference w:id="14"/>
      </w:r>
      <w:r>
        <w:rPr>
          <w:rFonts w:eastAsia="Times New Roman" w:cs="Arial"/>
          <w:lang w:eastAsia="de-DE"/>
        </w:rPr>
        <w:t xml:space="preserve"> bzw. DIN EN ISO 17294-2</w:t>
      </w:r>
      <w:r>
        <w:rPr>
          <w:rStyle w:val="Funotenzeichen"/>
          <w:rFonts w:eastAsia="Times New Roman" w:cs="Arial"/>
          <w:lang w:eastAsia="de-DE"/>
        </w:rPr>
        <w:footnoteReference w:id="15"/>
      </w:r>
      <w:r>
        <w:rPr>
          <w:rFonts w:eastAsia="Times New Roman" w:cs="Arial"/>
          <w:lang w:eastAsia="de-DE"/>
        </w:rPr>
        <w:t xml:space="preserve"> erfolgen. Hierbei sind die Elemente As</w:t>
      </w:r>
      <w:r>
        <w:rPr>
          <w:sz w:val="20"/>
          <w:szCs w:val="20"/>
        </w:rPr>
        <w:t xml:space="preserve">, </w:t>
      </w:r>
      <w:proofErr w:type="spellStart"/>
      <w:r w:rsidRPr="00067139">
        <w:t>Sb</w:t>
      </w:r>
      <w:proofErr w:type="spellEnd"/>
      <w:r w:rsidRPr="00067139">
        <w:t xml:space="preserve">, </w:t>
      </w:r>
      <w:proofErr w:type="spellStart"/>
      <w:r w:rsidRPr="00067139">
        <w:t>Pb</w:t>
      </w:r>
      <w:proofErr w:type="spellEnd"/>
      <w:r w:rsidRPr="00067139">
        <w:t xml:space="preserve">, </w:t>
      </w:r>
      <w:proofErr w:type="spellStart"/>
      <w:r w:rsidRPr="00067139">
        <w:t>Cd</w:t>
      </w:r>
      <w:proofErr w:type="spellEnd"/>
      <w:r w:rsidRPr="00067139">
        <w:t xml:space="preserve">, </w:t>
      </w:r>
      <w:proofErr w:type="spellStart"/>
      <w:r w:rsidRPr="00067139">
        <w:t>Cr</w:t>
      </w:r>
      <w:proofErr w:type="spellEnd"/>
      <w:r w:rsidRPr="00067139">
        <w:t xml:space="preserve">, </w:t>
      </w:r>
      <w:proofErr w:type="spellStart"/>
      <w:r w:rsidRPr="00067139">
        <w:t>Cu</w:t>
      </w:r>
      <w:proofErr w:type="spellEnd"/>
      <w:r w:rsidRPr="00067139">
        <w:t xml:space="preserve">, Mo, </w:t>
      </w:r>
      <w:proofErr w:type="spellStart"/>
      <w:r w:rsidRPr="00067139">
        <w:t>Ni</w:t>
      </w:r>
      <w:proofErr w:type="spellEnd"/>
      <w:r w:rsidRPr="00067139">
        <w:t xml:space="preserve">, V, W und </w:t>
      </w:r>
      <w:proofErr w:type="spellStart"/>
      <w:r w:rsidRPr="00067139">
        <w:t>Zn</w:t>
      </w:r>
      <w:proofErr w:type="spellEnd"/>
      <w:r w:rsidRPr="00067139">
        <w:t xml:space="preserve"> zu analysieren.</w:t>
      </w:r>
    </w:p>
    <w:p w:rsidR="00177FA9" w:rsidRDefault="00177FA9" w:rsidP="00177FA9">
      <w:pPr>
        <w:spacing w:before="0" w:after="0" w:line="36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Zwecks Aufzeigen der Kinetik des Löseprozesses sind über einen</w:t>
      </w:r>
      <w:r w:rsidR="00775116">
        <w:rPr>
          <w:rFonts w:eastAsia="Times New Roman" w:cs="Arial"/>
          <w:lang w:eastAsia="de-DE"/>
        </w:rPr>
        <w:t xml:space="preserve"> Zeitraum von t=0,5 h bis t=26</w:t>
      </w:r>
      <w:r w:rsidR="007337C7">
        <w:rPr>
          <w:rFonts w:eastAsia="Times New Roman" w:cs="Arial"/>
          <w:lang w:eastAsia="de-DE"/>
        </w:rPr>
        <w:t>4</w:t>
      </w:r>
      <w:r>
        <w:rPr>
          <w:rFonts w:eastAsia="Times New Roman" w:cs="Arial"/>
          <w:lang w:eastAsia="de-DE"/>
        </w:rPr>
        <w:t xml:space="preserve">h </w:t>
      </w:r>
      <w:proofErr w:type="spellStart"/>
      <w:r>
        <w:rPr>
          <w:rFonts w:eastAsia="Times New Roman" w:cs="Arial"/>
          <w:lang w:eastAsia="de-DE"/>
        </w:rPr>
        <w:t>Elutionsuntersuchungen</w:t>
      </w:r>
      <w:proofErr w:type="spellEnd"/>
      <w:r>
        <w:rPr>
          <w:rFonts w:eastAsia="Times New Roman" w:cs="Arial"/>
          <w:lang w:eastAsia="de-DE"/>
        </w:rPr>
        <w:t xml:space="preserve"> an acht Parallelen für die v. g. </w:t>
      </w:r>
      <w:proofErr w:type="spellStart"/>
      <w:r>
        <w:rPr>
          <w:rFonts w:eastAsia="Times New Roman" w:cs="Arial"/>
          <w:lang w:eastAsia="de-DE"/>
        </w:rPr>
        <w:t>Stückigkeit</w:t>
      </w:r>
      <w:proofErr w:type="spellEnd"/>
      <w:r>
        <w:rPr>
          <w:rFonts w:eastAsia="Times New Roman" w:cs="Arial"/>
          <w:lang w:eastAsia="de-DE"/>
        </w:rPr>
        <w:t xml:space="preserve">/Körnigkeit </w:t>
      </w:r>
      <w:r w:rsidR="00775116">
        <w:rPr>
          <w:rFonts w:eastAsia="Times New Roman" w:cs="Arial"/>
          <w:lang w:eastAsia="de-DE"/>
        </w:rPr>
        <w:t xml:space="preserve">durchzuführen; wobei die Untersuchungen gemäß DIN 19902 </w:t>
      </w:r>
      <w:r w:rsidR="00B1169C">
        <w:rPr>
          <w:rFonts w:eastAsia="Times New Roman" w:cs="Arial"/>
          <w:lang w:eastAsia="de-DE"/>
        </w:rPr>
        <w:t xml:space="preserve">jedoch </w:t>
      </w:r>
      <w:r w:rsidR="00775116">
        <w:rPr>
          <w:rFonts w:eastAsia="Times New Roman" w:cs="Arial"/>
          <w:lang w:eastAsia="de-DE"/>
        </w:rPr>
        <w:t>ohne Z</w:t>
      </w:r>
      <w:r w:rsidR="00B1169C">
        <w:rPr>
          <w:rFonts w:eastAsia="Times New Roman" w:cs="Arial"/>
          <w:lang w:eastAsia="de-DE"/>
        </w:rPr>
        <w:t>eitabhängig</w:t>
      </w:r>
      <w:r w:rsidR="00775116">
        <w:rPr>
          <w:rFonts w:eastAsia="Times New Roman" w:cs="Arial"/>
          <w:lang w:eastAsia="de-DE"/>
        </w:rPr>
        <w:t>keit</w:t>
      </w:r>
      <w:r>
        <w:rPr>
          <w:rFonts w:eastAsia="Times New Roman" w:cs="Arial"/>
          <w:lang w:eastAsia="de-DE"/>
        </w:rPr>
        <w:t xml:space="preserve"> </w:t>
      </w:r>
      <w:r w:rsidR="00B1169C">
        <w:rPr>
          <w:rFonts w:eastAsia="Times New Roman" w:cs="Arial"/>
          <w:lang w:eastAsia="de-DE"/>
        </w:rPr>
        <w:t>durchzuführen ist</w:t>
      </w:r>
      <w:r w:rsidR="00775116">
        <w:rPr>
          <w:rFonts w:eastAsia="Times New Roman" w:cs="Arial"/>
          <w:lang w:eastAsia="de-DE"/>
        </w:rPr>
        <w:t xml:space="preserve">. </w:t>
      </w:r>
      <w:r>
        <w:rPr>
          <w:rFonts w:eastAsia="Times New Roman" w:cs="Arial"/>
          <w:lang w:eastAsia="de-DE"/>
        </w:rPr>
        <w:t xml:space="preserve">Die v. g. Versuchsdauer soll gewährleisten, </w:t>
      </w:r>
      <w:r w:rsidR="007337C7">
        <w:rPr>
          <w:rFonts w:eastAsia="Times New Roman" w:cs="Arial"/>
          <w:lang w:eastAsia="de-DE"/>
        </w:rPr>
        <w:t>dass</w:t>
      </w:r>
      <w:r>
        <w:rPr>
          <w:rFonts w:eastAsia="Times New Roman" w:cs="Arial"/>
          <w:lang w:eastAsia="de-DE"/>
        </w:rPr>
        <w:t xml:space="preserve"> auch hier die „</w:t>
      </w:r>
      <w:proofErr w:type="spellStart"/>
      <w:r>
        <w:rPr>
          <w:rFonts w:eastAsia="Times New Roman" w:cs="Arial"/>
          <w:lang w:eastAsia="de-DE"/>
        </w:rPr>
        <w:t>steady-state-conditions</w:t>
      </w:r>
      <w:proofErr w:type="spellEnd"/>
      <w:r>
        <w:rPr>
          <w:rFonts w:eastAsia="Times New Roman" w:cs="Arial"/>
          <w:lang w:eastAsia="de-DE"/>
        </w:rPr>
        <w:t xml:space="preserve">“ für jedes Element und jedes Material </w:t>
      </w:r>
      <w:r w:rsidR="007337C7">
        <w:rPr>
          <w:rFonts w:eastAsia="Times New Roman" w:cs="Arial"/>
          <w:lang w:eastAsia="de-DE"/>
        </w:rPr>
        <w:t>nachgewiesen</w:t>
      </w:r>
      <w:r>
        <w:rPr>
          <w:rFonts w:eastAsia="Times New Roman" w:cs="Arial"/>
          <w:lang w:eastAsia="de-DE"/>
        </w:rPr>
        <w:t xml:space="preserve"> werden</w:t>
      </w:r>
      <w:r w:rsidR="007337C7">
        <w:rPr>
          <w:rFonts w:eastAsia="Times New Roman" w:cs="Arial"/>
          <w:lang w:eastAsia="de-DE"/>
        </w:rPr>
        <w:t xml:space="preserve"> kann</w:t>
      </w:r>
      <w:r>
        <w:rPr>
          <w:rFonts w:eastAsia="Times New Roman" w:cs="Arial"/>
          <w:lang w:eastAsia="de-DE"/>
        </w:rPr>
        <w:t>.</w:t>
      </w:r>
    </w:p>
    <w:p w:rsidR="00177FA9" w:rsidRDefault="00177FA9" w:rsidP="00177FA9">
      <w:pPr>
        <w:spacing w:before="0" w:after="0" w:line="36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Vor und nach den </w:t>
      </w:r>
      <w:proofErr w:type="spellStart"/>
      <w:r>
        <w:rPr>
          <w:rFonts w:eastAsia="Times New Roman" w:cs="Arial"/>
          <w:lang w:eastAsia="de-DE"/>
        </w:rPr>
        <w:t>Elutionsversuchen</w:t>
      </w:r>
      <w:proofErr w:type="spellEnd"/>
      <w:r>
        <w:rPr>
          <w:rFonts w:eastAsia="Times New Roman" w:cs="Arial"/>
          <w:lang w:eastAsia="de-DE"/>
        </w:rPr>
        <w:t xml:space="preserve"> ist </w:t>
      </w:r>
      <w:r w:rsidR="002E6751">
        <w:rPr>
          <w:rFonts w:eastAsia="Times New Roman" w:cs="Arial"/>
          <w:lang w:eastAsia="de-DE"/>
        </w:rPr>
        <w:t xml:space="preserve">auch hier </w:t>
      </w:r>
      <w:r>
        <w:rPr>
          <w:rFonts w:eastAsia="Times New Roman" w:cs="Arial"/>
          <w:lang w:eastAsia="de-DE"/>
        </w:rPr>
        <w:t xml:space="preserve">von jedem Untersuchungsprobenmaterial nach der jeweiligen Zeitspanne </w:t>
      </w:r>
      <w:proofErr w:type="spellStart"/>
      <w:r>
        <w:rPr>
          <w:rFonts w:eastAsia="Times New Roman" w:cs="Arial"/>
          <w:lang w:eastAsia="de-DE"/>
        </w:rPr>
        <w:t>t</w:t>
      </w:r>
      <w:r w:rsidRPr="00596027">
        <w:rPr>
          <w:rFonts w:eastAsia="Times New Roman" w:cs="Arial"/>
          <w:vertAlign w:val="subscript"/>
          <w:lang w:eastAsia="de-DE"/>
        </w:rPr>
        <w:t>x</w:t>
      </w:r>
      <w:proofErr w:type="spellEnd"/>
      <w:r>
        <w:rPr>
          <w:rFonts w:eastAsia="Times New Roman" w:cs="Arial"/>
          <w:lang w:eastAsia="de-DE"/>
        </w:rPr>
        <w:t xml:space="preserve"> die spezifische Oberfläche des Feststoffes nach BET</w:t>
      </w:r>
      <w:r>
        <w:rPr>
          <w:rStyle w:val="Funotenzeichen"/>
          <w:rFonts w:eastAsia="Times New Roman" w:cs="Arial"/>
          <w:lang w:eastAsia="de-DE"/>
        </w:rPr>
        <w:footnoteReference w:id="16"/>
      </w:r>
      <w:r>
        <w:rPr>
          <w:rFonts w:eastAsia="Times New Roman" w:cs="Arial"/>
          <w:lang w:eastAsia="de-DE"/>
        </w:rPr>
        <w:t xml:space="preserve"> in [m²/g] zu ermitteln, um evtl. Abrieb</w:t>
      </w:r>
      <w:r w:rsidR="002E6751">
        <w:rPr>
          <w:rFonts w:eastAsia="Times New Roman" w:cs="Arial"/>
          <w:lang w:eastAsia="de-DE"/>
        </w:rPr>
        <w:t xml:space="preserve"> (Veränderung im Kornspektrum</w:t>
      </w:r>
      <w:r>
        <w:rPr>
          <w:rFonts w:eastAsia="Times New Roman" w:cs="Arial"/>
          <w:lang w:eastAsia="de-DE"/>
        </w:rPr>
        <w:t>) quantifizierbar aufzeigen und mit in die Ergebnisauswertung einbeziehen zu können.</w:t>
      </w:r>
    </w:p>
    <w:p w:rsidR="00CD217C" w:rsidRDefault="00CD217C">
      <w:pPr>
        <w:spacing w:before="0"/>
        <w:jc w:val="left"/>
        <w:rPr>
          <w:rFonts w:eastAsia="Times New Roman" w:cs="Times New Roman"/>
          <w:b/>
          <w:lang w:eastAsia="de-DE"/>
        </w:rPr>
      </w:pPr>
      <w:r>
        <w:rPr>
          <w:rFonts w:eastAsia="Times New Roman" w:cs="Times New Roman"/>
          <w:b/>
          <w:lang w:eastAsia="de-DE"/>
        </w:rPr>
        <w:br w:type="page"/>
      </w:r>
    </w:p>
    <w:p w:rsidR="0078239C" w:rsidRPr="0078239C" w:rsidRDefault="0078239C" w:rsidP="0078239C">
      <w:pPr>
        <w:spacing w:before="0" w:after="0" w:line="360" w:lineRule="auto"/>
        <w:rPr>
          <w:rFonts w:eastAsia="Times New Roman" w:cs="Times New Roman"/>
          <w:b/>
          <w:lang w:eastAsia="de-DE"/>
        </w:rPr>
      </w:pPr>
      <w:r w:rsidRPr="0078239C">
        <w:rPr>
          <w:rFonts w:eastAsia="Times New Roman" w:cs="Times New Roman"/>
          <w:b/>
          <w:lang w:eastAsia="de-DE"/>
        </w:rPr>
        <w:lastRenderedPageBreak/>
        <w:t>IV. Weitere Vorgehensweise</w:t>
      </w:r>
    </w:p>
    <w:p w:rsidR="00DC12CF" w:rsidRDefault="0078239C" w:rsidP="00A47C9C">
      <w:pPr>
        <w:spacing w:before="0" w:after="0" w:line="360" w:lineRule="auto"/>
        <w:rPr>
          <w:rFonts w:eastAsia="Times New Roman" w:cs="Times New Roman"/>
          <w:lang w:eastAsia="de-DE"/>
        </w:rPr>
      </w:pPr>
      <w:r w:rsidRPr="0078239C">
        <w:rPr>
          <w:rFonts w:eastAsia="Times New Roman" w:cs="Times New Roman"/>
          <w:lang w:eastAsia="de-DE"/>
        </w:rPr>
        <w:t>Die Abgabe eines konkreten Angebotes mit Kostenkalkulation zur Projekt</w:t>
      </w:r>
      <w:r w:rsidR="00BB202F">
        <w:rPr>
          <w:rFonts w:eastAsia="Times New Roman" w:cs="Times New Roman"/>
          <w:lang w:eastAsia="de-DE"/>
        </w:rPr>
        <w:t>durchführung auf Basis dieser</w:t>
      </w:r>
      <w:r w:rsidRPr="0078239C">
        <w:rPr>
          <w:rFonts w:eastAsia="Times New Roman" w:cs="Times New Roman"/>
          <w:lang w:eastAsia="de-DE"/>
        </w:rPr>
        <w:t xml:space="preserve"> Leistungsbeschreibung (II. und III.) wird zum </w:t>
      </w:r>
      <w:r w:rsidR="00117A45" w:rsidRPr="00311B0B">
        <w:rPr>
          <w:rFonts w:eastAsia="Times New Roman" w:cs="Times New Roman"/>
          <w:b/>
          <w:lang w:eastAsia="de-DE"/>
        </w:rPr>
        <w:t>0</w:t>
      </w:r>
      <w:r w:rsidR="006C3238">
        <w:rPr>
          <w:rFonts w:eastAsia="Times New Roman" w:cs="Times New Roman"/>
          <w:b/>
          <w:lang w:eastAsia="de-DE"/>
        </w:rPr>
        <w:t>9</w:t>
      </w:r>
      <w:r w:rsidRPr="0078239C">
        <w:rPr>
          <w:rFonts w:eastAsia="Times New Roman" w:cs="Times New Roman"/>
          <w:b/>
          <w:lang w:eastAsia="de-DE"/>
        </w:rPr>
        <w:t xml:space="preserve">. </w:t>
      </w:r>
      <w:r w:rsidRPr="00311B0B">
        <w:rPr>
          <w:rFonts w:eastAsia="Times New Roman" w:cs="Times New Roman"/>
          <w:b/>
          <w:lang w:eastAsia="de-DE"/>
        </w:rPr>
        <w:t>Mai</w:t>
      </w:r>
      <w:r w:rsidRPr="0078239C">
        <w:rPr>
          <w:rFonts w:eastAsia="Times New Roman" w:cs="Times New Roman"/>
          <w:b/>
          <w:lang w:eastAsia="de-DE"/>
        </w:rPr>
        <w:t xml:space="preserve"> 20</w:t>
      </w:r>
      <w:r w:rsidRPr="00311B0B">
        <w:rPr>
          <w:rFonts w:eastAsia="Times New Roman" w:cs="Times New Roman"/>
          <w:b/>
          <w:lang w:eastAsia="de-DE"/>
        </w:rPr>
        <w:t>18</w:t>
      </w:r>
      <w:r w:rsidRPr="0078239C">
        <w:rPr>
          <w:rFonts w:eastAsia="Times New Roman" w:cs="Times New Roman"/>
          <w:lang w:eastAsia="de-DE"/>
        </w:rPr>
        <w:t xml:space="preserve"> erbeten. Nach fachlicher Prüfung und Bewertung der Unterlagen erfolgt </w:t>
      </w:r>
      <w:r w:rsidR="006C3238">
        <w:rPr>
          <w:rFonts w:eastAsia="Times New Roman" w:cs="Times New Roman"/>
          <w:lang w:eastAsia="de-DE"/>
        </w:rPr>
        <w:t xml:space="preserve">bei Zuschlag </w:t>
      </w:r>
      <w:r w:rsidRPr="0078239C">
        <w:rPr>
          <w:rFonts w:eastAsia="Times New Roman" w:cs="Times New Roman"/>
          <w:lang w:eastAsia="de-DE"/>
        </w:rPr>
        <w:t xml:space="preserve">die Auftragserteilung durch die Vergabestelle. </w:t>
      </w:r>
    </w:p>
    <w:p w:rsidR="00CD217C" w:rsidRPr="00CD217C" w:rsidRDefault="00CD217C" w:rsidP="00CD217C">
      <w:pPr>
        <w:rPr>
          <w:lang w:eastAsia="de-DE"/>
        </w:rPr>
      </w:pPr>
    </w:p>
    <w:p w:rsidR="006F2C49" w:rsidRDefault="0078239C" w:rsidP="00DC12CF">
      <w:pPr>
        <w:shd w:val="clear" w:color="auto" w:fill="FFFFFF"/>
        <w:tabs>
          <w:tab w:val="left" w:pos="6600"/>
          <w:tab w:val="left" w:pos="10714"/>
        </w:tabs>
        <w:spacing w:before="0" w:after="0" w:line="360" w:lineRule="auto"/>
        <w:rPr>
          <w:rFonts w:eastAsia="Times New Roman" w:cs="Times New Roman"/>
          <w:color w:val="000000"/>
          <w:lang w:eastAsia="de-DE"/>
        </w:rPr>
      </w:pPr>
      <w:r w:rsidRPr="0078239C">
        <w:rPr>
          <w:rFonts w:eastAsia="Times New Roman" w:cs="Times New Roman"/>
          <w:color w:val="000000"/>
          <w:lang w:eastAsia="de-DE"/>
        </w:rPr>
        <w:t>Das Proj</w:t>
      </w:r>
      <w:r w:rsidRPr="00311B0B">
        <w:rPr>
          <w:rFonts w:eastAsia="Times New Roman" w:cs="Times New Roman"/>
          <w:color w:val="000000"/>
          <w:lang w:eastAsia="de-DE"/>
        </w:rPr>
        <w:t>ekt ist auf eine Laufzeit von 12</w:t>
      </w:r>
      <w:r w:rsidRPr="0078239C">
        <w:rPr>
          <w:rFonts w:eastAsia="Times New Roman" w:cs="Times New Roman"/>
          <w:color w:val="000000"/>
          <w:lang w:eastAsia="de-DE"/>
        </w:rPr>
        <w:t xml:space="preserve"> Monaten auszulegen. Der Projektbeginn ist für den </w:t>
      </w:r>
      <w:r w:rsidR="009E102C" w:rsidRPr="00311B0B">
        <w:rPr>
          <w:rFonts w:eastAsia="Times New Roman" w:cs="Times New Roman"/>
          <w:b/>
          <w:color w:val="000000"/>
          <w:lang w:eastAsia="de-DE"/>
        </w:rPr>
        <w:t>01</w:t>
      </w:r>
      <w:r w:rsidRPr="00311B0B">
        <w:rPr>
          <w:rFonts w:eastAsia="Times New Roman" w:cs="Times New Roman"/>
          <w:b/>
          <w:color w:val="000000"/>
          <w:lang w:eastAsia="de-DE"/>
        </w:rPr>
        <w:t>.0</w:t>
      </w:r>
      <w:r w:rsidR="009E102C" w:rsidRPr="00311B0B">
        <w:rPr>
          <w:rFonts w:eastAsia="Times New Roman" w:cs="Times New Roman"/>
          <w:b/>
          <w:color w:val="000000"/>
          <w:lang w:eastAsia="de-DE"/>
        </w:rPr>
        <w:t>6</w:t>
      </w:r>
      <w:r w:rsidRPr="00311B0B">
        <w:rPr>
          <w:rFonts w:eastAsia="Times New Roman" w:cs="Times New Roman"/>
          <w:b/>
          <w:color w:val="000000"/>
          <w:lang w:eastAsia="de-DE"/>
        </w:rPr>
        <w:t>.2018</w:t>
      </w:r>
      <w:r w:rsidRPr="0078239C">
        <w:rPr>
          <w:rFonts w:eastAsia="Times New Roman" w:cs="Times New Roman"/>
          <w:color w:val="000000"/>
          <w:lang w:eastAsia="de-DE"/>
        </w:rPr>
        <w:t xml:space="preserve"> vorgesehen. Ein aussagekräftiger </w:t>
      </w:r>
      <w:r w:rsidRPr="0078239C">
        <w:rPr>
          <w:rFonts w:eastAsia="Times New Roman" w:cs="Times New Roman"/>
          <w:color w:val="000000"/>
          <w:u w:val="single"/>
          <w:lang w:eastAsia="de-DE"/>
        </w:rPr>
        <w:t>Zwischenbericht</w:t>
      </w:r>
      <w:r w:rsidRPr="0078239C">
        <w:rPr>
          <w:rFonts w:eastAsia="Times New Roman" w:cs="Times New Roman"/>
          <w:color w:val="000000"/>
          <w:lang w:eastAsia="de-DE"/>
        </w:rPr>
        <w:t xml:space="preserve"> </w:t>
      </w:r>
      <w:r w:rsidR="00DC12CF">
        <w:rPr>
          <w:rFonts w:eastAsia="Times New Roman" w:cs="Times New Roman"/>
          <w:color w:val="000000"/>
          <w:lang w:eastAsia="de-DE"/>
        </w:rPr>
        <w:t xml:space="preserve">ist mit </w:t>
      </w:r>
      <w:r w:rsidR="001E7D8D" w:rsidRPr="00311B0B">
        <w:rPr>
          <w:rFonts w:eastAsia="Times New Roman" w:cs="Times New Roman"/>
          <w:color w:val="000000"/>
          <w:lang w:eastAsia="de-DE"/>
        </w:rPr>
        <w:t>dem Projektbetreuer</w:t>
      </w:r>
      <w:r w:rsidR="001E7D8D" w:rsidRPr="0078239C">
        <w:rPr>
          <w:rFonts w:eastAsia="Times New Roman" w:cs="Times New Roman"/>
          <w:color w:val="000000"/>
          <w:lang w:eastAsia="de-DE"/>
        </w:rPr>
        <w:t xml:space="preserve"> </w:t>
      </w:r>
      <w:r w:rsidR="00DC12CF">
        <w:rPr>
          <w:rFonts w:eastAsia="Times New Roman" w:cs="Times New Roman"/>
          <w:color w:val="000000"/>
          <w:lang w:eastAsia="de-DE"/>
        </w:rPr>
        <w:t>abzustimmen und der LFP-Geschäftsstelle</w:t>
      </w:r>
      <w:r w:rsidRPr="0078239C">
        <w:rPr>
          <w:rFonts w:eastAsia="Times New Roman" w:cs="Times New Roman"/>
          <w:color w:val="000000"/>
          <w:lang w:eastAsia="de-DE"/>
        </w:rPr>
        <w:t xml:space="preserve"> zum </w:t>
      </w:r>
      <w:r w:rsidR="009E102C" w:rsidRPr="00311B0B">
        <w:rPr>
          <w:rFonts w:eastAsia="Times New Roman" w:cs="Times New Roman"/>
          <w:b/>
          <w:color w:val="000000"/>
          <w:lang w:eastAsia="de-DE"/>
        </w:rPr>
        <w:t>15. Januar</w:t>
      </w:r>
      <w:r w:rsidRPr="00311B0B">
        <w:rPr>
          <w:rFonts w:eastAsia="Times New Roman" w:cs="Times New Roman"/>
          <w:b/>
          <w:color w:val="000000"/>
          <w:lang w:eastAsia="de-DE"/>
        </w:rPr>
        <w:t xml:space="preserve"> 2019</w:t>
      </w:r>
      <w:r w:rsidR="00117A45" w:rsidRPr="00311B0B">
        <w:rPr>
          <w:rFonts w:eastAsia="Times New Roman" w:cs="Times New Roman"/>
          <w:color w:val="000000"/>
          <w:lang w:eastAsia="de-DE"/>
        </w:rPr>
        <w:t xml:space="preserve"> </w:t>
      </w:r>
      <w:r w:rsidRPr="0078239C">
        <w:rPr>
          <w:rFonts w:eastAsia="Times New Roman" w:cs="Times New Roman"/>
          <w:color w:val="000000"/>
          <w:lang w:eastAsia="de-DE"/>
        </w:rPr>
        <w:t xml:space="preserve">vorzulegen. </w:t>
      </w:r>
    </w:p>
    <w:p w:rsidR="00CD217C" w:rsidRPr="00CD217C" w:rsidRDefault="00CD217C" w:rsidP="00CD217C">
      <w:pPr>
        <w:rPr>
          <w:lang w:eastAsia="de-DE"/>
        </w:rPr>
      </w:pPr>
    </w:p>
    <w:p w:rsidR="0078239C" w:rsidRDefault="006F2C49" w:rsidP="0078239C">
      <w:pPr>
        <w:shd w:val="clear" w:color="auto" w:fill="FFFFFF"/>
        <w:tabs>
          <w:tab w:val="left" w:pos="6600"/>
          <w:tab w:val="left" w:pos="10714"/>
        </w:tabs>
        <w:spacing w:before="0" w:after="0" w:line="360" w:lineRule="auto"/>
        <w:rPr>
          <w:rFonts w:eastAsia="Times New Roman" w:cs="Times New Roman"/>
          <w:color w:val="000000"/>
          <w:lang w:eastAsia="de-DE"/>
        </w:rPr>
      </w:pPr>
      <w:r>
        <w:rPr>
          <w:rFonts w:eastAsia="Times New Roman" w:cs="Times New Roman"/>
          <w:color w:val="000000"/>
          <w:lang w:eastAsia="de-DE"/>
        </w:rPr>
        <w:t xml:space="preserve">Der </w:t>
      </w:r>
      <w:r w:rsidRPr="006F2C49">
        <w:rPr>
          <w:rFonts w:eastAsia="Times New Roman" w:cs="Times New Roman"/>
          <w:color w:val="000000"/>
          <w:u w:val="single"/>
          <w:lang w:eastAsia="de-DE"/>
        </w:rPr>
        <w:t>Abschlussbericht</w:t>
      </w:r>
      <w:r>
        <w:rPr>
          <w:rFonts w:eastAsia="Times New Roman" w:cs="Times New Roman"/>
          <w:color w:val="000000"/>
          <w:lang w:eastAsia="de-DE"/>
        </w:rPr>
        <w:t xml:space="preserve"> </w:t>
      </w:r>
      <w:r w:rsidR="00DC12CF">
        <w:rPr>
          <w:rFonts w:eastAsia="Times New Roman" w:cs="Times New Roman"/>
          <w:color w:val="000000"/>
          <w:lang w:eastAsia="de-DE"/>
        </w:rPr>
        <w:t xml:space="preserve">ist </w:t>
      </w:r>
      <w:r>
        <w:rPr>
          <w:rFonts w:eastAsia="Times New Roman" w:cs="Times New Roman"/>
          <w:color w:val="000000"/>
          <w:lang w:eastAsia="de-DE"/>
        </w:rPr>
        <w:t>nach vorheriger Vorlage gegenüber den Projektbetreuern des LAGA</w:t>
      </w:r>
      <w:r w:rsidR="006C3238">
        <w:rPr>
          <w:rFonts w:eastAsia="Times New Roman" w:cs="Times New Roman"/>
          <w:color w:val="000000"/>
          <w:lang w:eastAsia="de-DE"/>
        </w:rPr>
        <w:t>-</w:t>
      </w:r>
      <w:r>
        <w:rPr>
          <w:rFonts w:eastAsia="Times New Roman" w:cs="Times New Roman"/>
          <w:color w:val="000000"/>
          <w:lang w:eastAsia="de-DE"/>
        </w:rPr>
        <w:t xml:space="preserve">Forums der Geschäftsstelle des Länderfinanzierungsprogramms „Wasser, Boden, Abfall“ zum </w:t>
      </w:r>
      <w:r>
        <w:rPr>
          <w:rFonts w:eastAsia="Times New Roman" w:cs="Times New Roman"/>
          <w:b/>
          <w:color w:val="000000"/>
          <w:lang w:eastAsia="de-DE"/>
        </w:rPr>
        <w:t>31</w:t>
      </w:r>
      <w:r w:rsidRPr="006F2C49">
        <w:rPr>
          <w:rFonts w:eastAsia="Times New Roman" w:cs="Times New Roman"/>
          <w:b/>
          <w:color w:val="000000"/>
          <w:lang w:eastAsia="de-DE"/>
        </w:rPr>
        <w:t>. Mai 2019</w:t>
      </w:r>
      <w:r>
        <w:rPr>
          <w:rFonts w:eastAsia="Times New Roman" w:cs="Times New Roman"/>
          <w:b/>
          <w:color w:val="000000"/>
          <w:lang w:eastAsia="de-DE"/>
        </w:rPr>
        <w:t xml:space="preserve"> </w:t>
      </w:r>
      <w:r>
        <w:rPr>
          <w:rFonts w:eastAsia="Times New Roman" w:cs="Times New Roman"/>
          <w:color w:val="000000"/>
          <w:lang w:eastAsia="de-DE"/>
        </w:rPr>
        <w:t>vorzulegen.</w:t>
      </w:r>
    </w:p>
    <w:sectPr w:rsidR="0078239C" w:rsidSect="00CD217C">
      <w:footerReference w:type="default" r:id="rId7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38" w:rsidRDefault="006C3238" w:rsidP="00CF68EC">
      <w:pPr>
        <w:spacing w:before="0" w:after="0" w:line="240" w:lineRule="auto"/>
      </w:pPr>
      <w:r>
        <w:separator/>
      </w:r>
    </w:p>
  </w:endnote>
  <w:endnote w:type="continuationSeparator" w:id="0">
    <w:p w:rsidR="006C3238" w:rsidRDefault="006C3238" w:rsidP="00CF68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325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0440293"/>
      <w:docPartObj>
        <w:docPartGallery w:val="Page Numbers (Bottom of Page)"/>
        <w:docPartUnique/>
      </w:docPartObj>
    </w:sdtPr>
    <w:sdtContent>
      <w:p w:rsidR="006C3238" w:rsidRDefault="006C3238">
        <w:pPr>
          <w:pStyle w:val="Fuzeile"/>
          <w:jc w:val="right"/>
        </w:pPr>
        <w:fldSimple w:instr="PAGE   \* MERGEFORMAT">
          <w:r w:rsidR="007C46D6">
            <w:rPr>
              <w:noProof/>
            </w:rPr>
            <w:t>5</w:t>
          </w:r>
        </w:fldSimple>
      </w:p>
    </w:sdtContent>
  </w:sdt>
  <w:p w:rsidR="006C3238" w:rsidRDefault="006C323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38" w:rsidRDefault="006C3238" w:rsidP="00CF68EC">
      <w:pPr>
        <w:spacing w:before="0" w:after="0" w:line="240" w:lineRule="auto"/>
      </w:pPr>
      <w:r>
        <w:separator/>
      </w:r>
    </w:p>
  </w:footnote>
  <w:footnote w:type="continuationSeparator" w:id="0">
    <w:p w:rsidR="006C3238" w:rsidRDefault="006C3238" w:rsidP="00CF68EC">
      <w:pPr>
        <w:spacing w:before="0" w:after="0" w:line="240" w:lineRule="auto"/>
      </w:pPr>
      <w:r>
        <w:continuationSeparator/>
      </w:r>
    </w:p>
  </w:footnote>
  <w:footnote w:id="1">
    <w:p w:rsidR="006C3238" w:rsidRPr="00C83080" w:rsidRDefault="006C3238" w:rsidP="001327DE">
      <w:pPr>
        <w:pStyle w:val="Funotentext"/>
        <w:jc w:val="both"/>
        <w:rPr>
          <w:sz w:val="16"/>
          <w:szCs w:val="16"/>
        </w:rPr>
      </w:pPr>
      <w:r w:rsidRPr="00C83080">
        <w:rPr>
          <w:rStyle w:val="Funotenzeichen"/>
          <w:rFonts w:eastAsiaTheme="majorEastAsia"/>
          <w:sz w:val="16"/>
          <w:szCs w:val="16"/>
        </w:rPr>
        <w:footnoteRef/>
      </w:r>
      <w:r w:rsidRPr="00C83080">
        <w:rPr>
          <w:sz w:val="16"/>
          <w:szCs w:val="16"/>
        </w:rPr>
        <w:t xml:space="preserve"> LAGA PN 98 (12/2001) Richtlinie für das Vorgehen bei physikalischen, chemischen und biologischen Untersuchungen im Zusammenhang mit der Verwertung/Beseitigung von Abfällen</w:t>
      </w:r>
    </w:p>
  </w:footnote>
  <w:footnote w:id="2">
    <w:p w:rsidR="006C3238" w:rsidRPr="00C83080" w:rsidRDefault="006C3238" w:rsidP="001327DE">
      <w:pPr>
        <w:pStyle w:val="Funotentext"/>
        <w:rPr>
          <w:sz w:val="16"/>
          <w:szCs w:val="16"/>
        </w:rPr>
      </w:pPr>
      <w:r w:rsidRPr="00C83080">
        <w:rPr>
          <w:rStyle w:val="Funotenzeichen"/>
          <w:rFonts w:eastAsiaTheme="majorEastAsia"/>
          <w:sz w:val="16"/>
          <w:szCs w:val="16"/>
        </w:rPr>
        <w:footnoteRef/>
      </w:r>
      <w:r w:rsidRPr="00C83080">
        <w:rPr>
          <w:sz w:val="16"/>
          <w:szCs w:val="16"/>
        </w:rPr>
        <w:t xml:space="preserve"> DIN 19747 (07/2009) Untersuchung von Feststoffen – Probenvorbehandlung, -vorbereitung und </w:t>
      </w:r>
      <w:r>
        <w:rPr>
          <w:sz w:val="16"/>
          <w:szCs w:val="16"/>
        </w:rPr>
        <w:t xml:space="preserve"> </w:t>
      </w:r>
      <w:r w:rsidRPr="00C83080">
        <w:rPr>
          <w:sz w:val="16"/>
          <w:szCs w:val="16"/>
        </w:rPr>
        <w:t>–</w:t>
      </w:r>
      <w:proofErr w:type="spellStart"/>
      <w:r w:rsidRPr="00C83080">
        <w:rPr>
          <w:sz w:val="16"/>
          <w:szCs w:val="16"/>
        </w:rPr>
        <w:t>aufarbeitung</w:t>
      </w:r>
      <w:proofErr w:type="spellEnd"/>
      <w:r w:rsidRPr="00C83080">
        <w:rPr>
          <w:sz w:val="16"/>
          <w:szCs w:val="16"/>
        </w:rPr>
        <w:t xml:space="preserve"> für chemische, biologische und physikalische Untersuchungen</w:t>
      </w:r>
    </w:p>
  </w:footnote>
  <w:footnote w:id="3">
    <w:p w:rsidR="006C3238" w:rsidRPr="00037DB8" w:rsidRDefault="006C3238">
      <w:pPr>
        <w:pStyle w:val="Funotentext"/>
        <w:rPr>
          <w:sz w:val="16"/>
          <w:szCs w:val="16"/>
        </w:rPr>
      </w:pPr>
      <w:r w:rsidRPr="00037DB8">
        <w:rPr>
          <w:rStyle w:val="Funotenzeichen"/>
          <w:sz w:val="16"/>
          <w:szCs w:val="16"/>
        </w:rPr>
        <w:footnoteRef/>
      </w:r>
      <w:r w:rsidRPr="00037DB8">
        <w:rPr>
          <w:sz w:val="16"/>
          <w:szCs w:val="16"/>
        </w:rPr>
        <w:t xml:space="preserve"> HMVA: Hausmüllverbrennungsanlagen</w:t>
      </w:r>
    </w:p>
  </w:footnote>
  <w:footnote w:id="4">
    <w:p w:rsidR="006C3238" w:rsidRPr="00DC2E3F" w:rsidRDefault="006C3238">
      <w:pPr>
        <w:pStyle w:val="Funotentext"/>
        <w:rPr>
          <w:b/>
          <w:sz w:val="16"/>
          <w:szCs w:val="16"/>
        </w:rPr>
      </w:pPr>
      <w:r w:rsidRPr="005C274E">
        <w:rPr>
          <w:rStyle w:val="Funotenzeichen"/>
          <w:sz w:val="16"/>
          <w:szCs w:val="16"/>
        </w:rPr>
        <w:footnoteRef/>
      </w:r>
      <w:r w:rsidRPr="005C274E">
        <w:rPr>
          <w:sz w:val="16"/>
          <w:szCs w:val="16"/>
        </w:rPr>
        <w:t xml:space="preserve"> DIN EN 12457-4 (01/2003) </w:t>
      </w:r>
      <w:r w:rsidRPr="00DC2E3F">
        <w:rPr>
          <w:rStyle w:val="Fett"/>
          <w:b w:val="0"/>
          <w:sz w:val="16"/>
          <w:szCs w:val="16"/>
        </w:rPr>
        <w:t>Charakterisierung von Abfällen - Auslaugung; Übereinstimmungsuntersuchung für die Auslaugung von körnigen Abfällen und Schlämmen - Teil 4: Einstufiges Schüttelverfahren mit einem Flüssigkeits-/Feststoffverhältnis von 10 l/kg für Materialien mit einer Korngröße unter 10 mm (ohne o</w:t>
      </w:r>
      <w:r>
        <w:rPr>
          <w:rStyle w:val="Fett"/>
          <w:b w:val="0"/>
          <w:sz w:val="16"/>
          <w:szCs w:val="16"/>
        </w:rPr>
        <w:t>der mit Korngrößenreduzierung)</w:t>
      </w:r>
    </w:p>
  </w:footnote>
  <w:footnote w:id="5">
    <w:p w:rsidR="006C3238" w:rsidRPr="00717E3E" w:rsidRDefault="006C3238">
      <w:pPr>
        <w:pStyle w:val="Funotentext"/>
        <w:rPr>
          <w:b/>
          <w:sz w:val="16"/>
          <w:szCs w:val="16"/>
        </w:rPr>
      </w:pPr>
      <w:r w:rsidRPr="005C274E">
        <w:rPr>
          <w:rStyle w:val="Funotenzeichen"/>
          <w:sz w:val="16"/>
          <w:szCs w:val="16"/>
        </w:rPr>
        <w:footnoteRef/>
      </w:r>
      <w:r w:rsidRPr="005C27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DIN 19902 (03/2018) </w:t>
      </w:r>
      <w:proofErr w:type="spellStart"/>
      <w:r w:rsidRPr="00717E3E">
        <w:rPr>
          <w:rStyle w:val="Fett"/>
          <w:b w:val="0"/>
          <w:sz w:val="16"/>
          <w:szCs w:val="16"/>
        </w:rPr>
        <w:t>Elution</w:t>
      </w:r>
      <w:proofErr w:type="spellEnd"/>
      <w:r w:rsidRPr="00717E3E">
        <w:rPr>
          <w:rStyle w:val="Fett"/>
          <w:b w:val="0"/>
          <w:sz w:val="16"/>
          <w:szCs w:val="16"/>
        </w:rPr>
        <w:t xml:space="preserve"> von Feststoffen - Vor-Ort-</w:t>
      </w:r>
      <w:proofErr w:type="spellStart"/>
      <w:r w:rsidRPr="00717E3E">
        <w:rPr>
          <w:rStyle w:val="Fett"/>
          <w:b w:val="0"/>
          <w:sz w:val="16"/>
          <w:szCs w:val="16"/>
        </w:rPr>
        <w:t>Elutionsverfahren</w:t>
      </w:r>
      <w:proofErr w:type="spellEnd"/>
      <w:r w:rsidRPr="00717E3E">
        <w:rPr>
          <w:rStyle w:val="Fett"/>
          <w:b w:val="0"/>
          <w:sz w:val="16"/>
          <w:szCs w:val="16"/>
        </w:rPr>
        <w:t xml:space="preserve"> zur Ermittlung der mobilisierbaren anorganischen Stoffanteile</w:t>
      </w:r>
    </w:p>
  </w:footnote>
  <w:footnote w:id="6">
    <w:p w:rsidR="006C3238" w:rsidRDefault="006C3238">
      <w:pPr>
        <w:pStyle w:val="Funotentext"/>
        <w:rPr>
          <w:rStyle w:val="Fett"/>
          <w:b w:val="0"/>
          <w:sz w:val="16"/>
          <w:szCs w:val="16"/>
        </w:rPr>
      </w:pPr>
      <w:r w:rsidRPr="005C274E">
        <w:rPr>
          <w:rStyle w:val="Funotenzeichen"/>
          <w:sz w:val="16"/>
          <w:szCs w:val="16"/>
        </w:rPr>
        <w:footnoteRef/>
      </w:r>
      <w:r w:rsidRPr="005C27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DIN 19529 (12/20015) </w:t>
      </w:r>
      <w:proofErr w:type="spellStart"/>
      <w:r w:rsidRPr="007E2997">
        <w:rPr>
          <w:rStyle w:val="Fett"/>
          <w:b w:val="0"/>
          <w:sz w:val="16"/>
          <w:szCs w:val="16"/>
        </w:rPr>
        <w:t>Elution</w:t>
      </w:r>
      <w:proofErr w:type="spellEnd"/>
      <w:r w:rsidRPr="007E2997">
        <w:rPr>
          <w:rStyle w:val="Fett"/>
          <w:b w:val="0"/>
          <w:sz w:val="16"/>
          <w:szCs w:val="16"/>
        </w:rPr>
        <w:t xml:space="preserve"> von Feststoffen - Schüttelverfahren zur Untersuchung des </w:t>
      </w:r>
      <w:proofErr w:type="spellStart"/>
      <w:r w:rsidRPr="007E2997">
        <w:rPr>
          <w:rStyle w:val="Fett"/>
          <w:b w:val="0"/>
          <w:sz w:val="16"/>
          <w:szCs w:val="16"/>
        </w:rPr>
        <w:t>Elutionsverhaltens</w:t>
      </w:r>
      <w:proofErr w:type="spellEnd"/>
      <w:r w:rsidRPr="007E2997">
        <w:rPr>
          <w:rStyle w:val="Fett"/>
          <w:b w:val="0"/>
          <w:sz w:val="16"/>
          <w:szCs w:val="16"/>
        </w:rPr>
        <w:t xml:space="preserve"> von an</w:t>
      </w:r>
      <w:r>
        <w:rPr>
          <w:rStyle w:val="Fett"/>
          <w:b w:val="0"/>
          <w:sz w:val="16"/>
          <w:szCs w:val="16"/>
        </w:rPr>
        <w:t>-</w:t>
      </w:r>
    </w:p>
    <w:p w:rsidR="006C3238" w:rsidRPr="007E2997" w:rsidRDefault="006C3238">
      <w:pPr>
        <w:pStyle w:val="Funotentext"/>
        <w:rPr>
          <w:b/>
          <w:sz w:val="16"/>
          <w:szCs w:val="16"/>
        </w:rPr>
      </w:pPr>
      <w:r w:rsidRPr="007E2997">
        <w:rPr>
          <w:rStyle w:val="Fett"/>
          <w:b w:val="0"/>
          <w:sz w:val="16"/>
          <w:szCs w:val="16"/>
        </w:rPr>
        <w:t>organischen und organischen Stoffen mit einem Wasser/Feststoff-Verhältnis von 2 l/kg</w:t>
      </w:r>
    </w:p>
  </w:footnote>
  <w:footnote w:id="7">
    <w:p w:rsidR="006C3238" w:rsidRPr="00543DF7" w:rsidRDefault="006C3238">
      <w:pPr>
        <w:pStyle w:val="Funotentext"/>
        <w:rPr>
          <w:b/>
          <w:sz w:val="16"/>
          <w:szCs w:val="16"/>
        </w:rPr>
      </w:pPr>
      <w:r w:rsidRPr="005C274E">
        <w:rPr>
          <w:rStyle w:val="Funotenzeichen"/>
          <w:sz w:val="16"/>
          <w:szCs w:val="16"/>
        </w:rPr>
        <w:footnoteRef/>
      </w:r>
      <w:r w:rsidRPr="005C27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DIN ISO 22036 (06/2009) </w:t>
      </w:r>
      <w:r w:rsidRPr="00543DF7">
        <w:rPr>
          <w:rStyle w:val="Fett"/>
          <w:b w:val="0"/>
          <w:sz w:val="16"/>
          <w:szCs w:val="16"/>
        </w:rPr>
        <w:t>Bodenbeschaffenheit - Bestimmung von Spurenelementen in Bodenextrakten mittels Atom</w:t>
      </w:r>
      <w:r>
        <w:rPr>
          <w:rStyle w:val="Fett"/>
          <w:b w:val="0"/>
          <w:sz w:val="16"/>
          <w:szCs w:val="16"/>
        </w:rPr>
        <w:t>-</w:t>
      </w:r>
      <w:proofErr w:type="spellStart"/>
      <w:r w:rsidRPr="00543DF7">
        <w:rPr>
          <w:rStyle w:val="Fett"/>
          <w:b w:val="0"/>
          <w:sz w:val="16"/>
          <w:szCs w:val="16"/>
        </w:rPr>
        <w:t>emissionsspektrometrie</w:t>
      </w:r>
      <w:proofErr w:type="spellEnd"/>
      <w:r w:rsidRPr="00543DF7">
        <w:rPr>
          <w:rStyle w:val="Fett"/>
          <w:b w:val="0"/>
          <w:sz w:val="16"/>
          <w:szCs w:val="16"/>
        </w:rPr>
        <w:t xml:space="preserve"> mit induktiv gekoppeltem P</w:t>
      </w:r>
      <w:r>
        <w:rPr>
          <w:rStyle w:val="Fett"/>
          <w:b w:val="0"/>
          <w:sz w:val="16"/>
          <w:szCs w:val="16"/>
        </w:rPr>
        <w:t>lasma (ICP-AES)</w:t>
      </w:r>
    </w:p>
  </w:footnote>
  <w:footnote w:id="8">
    <w:p w:rsidR="006C3238" w:rsidRPr="005B114A" w:rsidRDefault="006C3238">
      <w:pPr>
        <w:pStyle w:val="Funotentext"/>
        <w:rPr>
          <w:b/>
          <w:sz w:val="16"/>
          <w:szCs w:val="16"/>
        </w:rPr>
      </w:pPr>
      <w:r w:rsidRPr="005C274E">
        <w:rPr>
          <w:rStyle w:val="Funotenzeichen"/>
          <w:sz w:val="16"/>
          <w:szCs w:val="16"/>
        </w:rPr>
        <w:footnoteRef/>
      </w:r>
      <w:r w:rsidRPr="005C27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DIN EN ISO 17294-2 (01/2017) </w:t>
      </w:r>
      <w:r w:rsidRPr="005B114A">
        <w:rPr>
          <w:rStyle w:val="Fett"/>
          <w:b w:val="0"/>
          <w:sz w:val="16"/>
          <w:szCs w:val="16"/>
        </w:rPr>
        <w:t>Wasserbeschaffenheit - Anwendung der induktiv gekoppelten Plasma-</w:t>
      </w:r>
      <w:proofErr w:type="spellStart"/>
      <w:r w:rsidRPr="005B114A">
        <w:rPr>
          <w:rStyle w:val="Fett"/>
          <w:b w:val="0"/>
          <w:sz w:val="16"/>
          <w:szCs w:val="16"/>
        </w:rPr>
        <w:t>Massenspektrometrie</w:t>
      </w:r>
      <w:proofErr w:type="spellEnd"/>
      <w:r w:rsidRPr="005B114A">
        <w:rPr>
          <w:rStyle w:val="Fett"/>
          <w:b w:val="0"/>
          <w:sz w:val="16"/>
          <w:szCs w:val="16"/>
        </w:rPr>
        <w:t xml:space="preserve"> (ICP-MS) - Teil 2: Bestimmung von ausgewählten Elementen einschließlich Uran-</w:t>
      </w:r>
      <w:r>
        <w:rPr>
          <w:rStyle w:val="Fett"/>
          <w:b w:val="0"/>
          <w:sz w:val="16"/>
          <w:szCs w:val="16"/>
        </w:rPr>
        <w:t>Isotope (ISO 17294-2:2016)</w:t>
      </w:r>
    </w:p>
  </w:footnote>
  <w:footnote w:id="9">
    <w:p w:rsidR="006C3238" w:rsidRPr="009E0C3C" w:rsidRDefault="006C3238" w:rsidP="009E0C3C">
      <w:pPr>
        <w:autoSpaceDE w:val="0"/>
        <w:autoSpaceDN w:val="0"/>
        <w:adjustRightInd w:val="0"/>
        <w:spacing w:before="0" w:after="0" w:line="240" w:lineRule="auto"/>
        <w:jc w:val="left"/>
        <w:rPr>
          <w:rFonts w:ascii="TTE1B325B8t00" w:hAnsi="TTE1B325B8t00" w:cs="TTE1B325B8t00"/>
          <w:sz w:val="16"/>
          <w:szCs w:val="28"/>
        </w:rPr>
      </w:pPr>
      <w:r>
        <w:rPr>
          <w:rStyle w:val="Funotenzeichen"/>
        </w:rPr>
        <w:footnoteRef/>
      </w:r>
      <w:r w:rsidRPr="009E0C3C">
        <w:t xml:space="preserve"> </w:t>
      </w:r>
      <w:r w:rsidRPr="009E0C3C">
        <w:rPr>
          <w:sz w:val="16"/>
          <w:szCs w:val="16"/>
        </w:rPr>
        <w:t>DIN 10304-1 (07/2009)</w:t>
      </w:r>
      <w:r>
        <w:rPr>
          <w:sz w:val="16"/>
          <w:szCs w:val="16"/>
        </w:rPr>
        <w:t xml:space="preserve"> </w:t>
      </w:r>
      <w:r w:rsidRPr="009E0C3C">
        <w:rPr>
          <w:rFonts w:ascii="TTE1B325B8t00" w:hAnsi="TTE1B325B8t00" w:cs="TTE1B325B8t00"/>
          <w:sz w:val="16"/>
          <w:szCs w:val="28"/>
        </w:rPr>
        <w:t>Bestimmu</w:t>
      </w:r>
      <w:r>
        <w:rPr>
          <w:rFonts w:ascii="TTE1B325B8t00" w:hAnsi="TTE1B325B8t00" w:cs="TTE1B325B8t00"/>
          <w:sz w:val="16"/>
          <w:szCs w:val="28"/>
        </w:rPr>
        <w:t xml:space="preserve">ng von gelösten Anionen mittels </w:t>
      </w:r>
      <w:r w:rsidRPr="009E0C3C">
        <w:rPr>
          <w:rFonts w:ascii="TTE1B325B8t00" w:hAnsi="TTE1B325B8t00" w:cs="TTE1B325B8t00"/>
          <w:sz w:val="16"/>
          <w:szCs w:val="28"/>
        </w:rPr>
        <w:t>Flüssigkeits-Ionenchromatographie –Teil 1: Bestimmung von Bromid, Chlorid, Fl</w:t>
      </w:r>
      <w:r>
        <w:rPr>
          <w:rFonts w:ascii="TTE1B325B8t00" w:hAnsi="TTE1B325B8t00" w:cs="TTE1B325B8t00"/>
          <w:sz w:val="16"/>
          <w:szCs w:val="28"/>
        </w:rPr>
        <w:t xml:space="preserve">uorid, Nitrat, Nitrit, Phosphat </w:t>
      </w:r>
      <w:r w:rsidRPr="009E0C3C">
        <w:rPr>
          <w:rFonts w:ascii="TTE1B325B8t00" w:hAnsi="TTE1B325B8t00" w:cs="TTE1B325B8t00"/>
          <w:sz w:val="16"/>
          <w:szCs w:val="28"/>
        </w:rPr>
        <w:t>und Sulfat</w:t>
      </w:r>
    </w:p>
  </w:footnote>
  <w:footnote w:id="10">
    <w:p w:rsidR="006C3238" w:rsidRPr="00FE1A14" w:rsidRDefault="006C3238">
      <w:pPr>
        <w:pStyle w:val="Funotentext"/>
        <w:rPr>
          <w:i/>
          <w:sz w:val="16"/>
          <w:szCs w:val="16"/>
          <w:lang w:val="en-US"/>
        </w:rPr>
      </w:pPr>
      <w:r>
        <w:rPr>
          <w:rStyle w:val="Funotenzeichen"/>
        </w:rPr>
        <w:footnoteRef/>
      </w:r>
      <w:r w:rsidRPr="00FE1A14">
        <w:rPr>
          <w:sz w:val="16"/>
          <w:szCs w:val="16"/>
          <w:lang w:val="en-US"/>
        </w:rPr>
        <w:t xml:space="preserve"> BET: </w:t>
      </w:r>
      <w:proofErr w:type="spellStart"/>
      <w:r w:rsidRPr="00FE1A14">
        <w:rPr>
          <w:sz w:val="16"/>
          <w:szCs w:val="16"/>
          <w:u w:val="single"/>
          <w:lang w:val="en-US"/>
        </w:rPr>
        <w:t>B</w:t>
      </w:r>
      <w:r w:rsidRPr="00FE1A14">
        <w:rPr>
          <w:sz w:val="16"/>
          <w:szCs w:val="16"/>
          <w:lang w:val="en-US"/>
        </w:rPr>
        <w:t>runauer</w:t>
      </w:r>
      <w:proofErr w:type="spellEnd"/>
      <w:r w:rsidRPr="00FE1A14">
        <w:rPr>
          <w:sz w:val="16"/>
          <w:szCs w:val="16"/>
          <w:lang w:val="en-US"/>
        </w:rPr>
        <w:t xml:space="preserve">, </w:t>
      </w:r>
      <w:r w:rsidRPr="00FE1A14">
        <w:rPr>
          <w:sz w:val="16"/>
          <w:szCs w:val="16"/>
          <w:u w:val="single"/>
          <w:lang w:val="en-US"/>
        </w:rPr>
        <w:t>E</w:t>
      </w:r>
      <w:r w:rsidRPr="00FE1A14">
        <w:rPr>
          <w:sz w:val="16"/>
          <w:szCs w:val="16"/>
          <w:lang w:val="en-US"/>
        </w:rPr>
        <w:t xml:space="preserve">mmett, </w:t>
      </w:r>
      <w:r w:rsidRPr="00FE1A14">
        <w:rPr>
          <w:sz w:val="16"/>
          <w:szCs w:val="16"/>
          <w:u w:val="single"/>
          <w:lang w:val="en-US"/>
        </w:rPr>
        <w:t>T</w:t>
      </w:r>
      <w:r w:rsidRPr="00FE1A14">
        <w:rPr>
          <w:sz w:val="16"/>
          <w:szCs w:val="16"/>
          <w:lang w:val="en-US"/>
        </w:rPr>
        <w:t xml:space="preserve">eller; </w:t>
      </w:r>
      <w:r w:rsidRPr="00FE1A14">
        <w:rPr>
          <w:rStyle w:val="HTMLZitat"/>
          <w:i w:val="0"/>
          <w:sz w:val="16"/>
          <w:szCs w:val="16"/>
          <w:lang w:val="en-US"/>
        </w:rPr>
        <w:t xml:space="preserve">Adsorption of Gases in </w:t>
      </w:r>
      <w:proofErr w:type="spellStart"/>
      <w:r w:rsidRPr="00FE1A14">
        <w:rPr>
          <w:rStyle w:val="HTMLZitat"/>
          <w:i w:val="0"/>
          <w:sz w:val="16"/>
          <w:szCs w:val="16"/>
          <w:lang w:val="en-US"/>
        </w:rPr>
        <w:t>Multimolecular</w:t>
      </w:r>
      <w:proofErr w:type="spellEnd"/>
      <w:r w:rsidRPr="00FE1A14">
        <w:rPr>
          <w:rStyle w:val="HTMLZitat"/>
          <w:i w:val="0"/>
          <w:sz w:val="16"/>
          <w:szCs w:val="16"/>
          <w:lang w:val="en-US"/>
        </w:rPr>
        <w:t xml:space="preserve"> Layers</w:t>
      </w:r>
      <w:r w:rsidRPr="00FE1A14">
        <w:rPr>
          <w:rStyle w:val="reference-text"/>
          <w:i/>
          <w:sz w:val="16"/>
          <w:szCs w:val="16"/>
          <w:lang w:val="en-US"/>
        </w:rPr>
        <w:t xml:space="preserve">. In: </w:t>
      </w:r>
      <w:r w:rsidRPr="00FE1A14">
        <w:rPr>
          <w:rStyle w:val="HTMLZitat"/>
          <w:i w:val="0"/>
          <w:sz w:val="16"/>
          <w:szCs w:val="16"/>
          <w:lang w:val="en-US"/>
        </w:rPr>
        <w:t>Journal of the American Chemical Society</w:t>
      </w:r>
      <w:r>
        <w:rPr>
          <w:rStyle w:val="reference-text"/>
          <w:i/>
          <w:sz w:val="16"/>
          <w:szCs w:val="16"/>
          <w:lang w:val="en-US"/>
        </w:rPr>
        <w:t xml:space="preserve">; </w:t>
      </w:r>
      <w:r w:rsidRPr="00FE1A14">
        <w:rPr>
          <w:rStyle w:val="reference-text"/>
          <w:i/>
          <w:sz w:val="16"/>
          <w:szCs w:val="16"/>
          <w:lang w:val="en-US"/>
        </w:rPr>
        <w:t xml:space="preserve">Band 60, Nr. 2, </w:t>
      </w:r>
      <w:proofErr w:type="spellStart"/>
      <w:r w:rsidRPr="00FE1A14">
        <w:rPr>
          <w:rStyle w:val="reference-text"/>
          <w:i/>
          <w:sz w:val="16"/>
          <w:szCs w:val="16"/>
          <w:lang w:val="en-US"/>
        </w:rPr>
        <w:t>Februar</w:t>
      </w:r>
      <w:proofErr w:type="spellEnd"/>
      <w:r w:rsidRPr="00FE1A14">
        <w:rPr>
          <w:rStyle w:val="reference-text"/>
          <w:i/>
          <w:sz w:val="16"/>
          <w:szCs w:val="16"/>
          <w:lang w:val="en-US"/>
        </w:rPr>
        <w:t xml:space="preserve"> 1938, S. 309–319</w:t>
      </w:r>
    </w:p>
  </w:footnote>
  <w:footnote w:id="11">
    <w:p w:rsidR="006C3238" w:rsidRPr="00DC2E3F" w:rsidRDefault="006C3238" w:rsidP="000A19BC">
      <w:pPr>
        <w:pStyle w:val="Funotentext"/>
        <w:rPr>
          <w:b/>
          <w:sz w:val="16"/>
          <w:szCs w:val="16"/>
        </w:rPr>
      </w:pPr>
      <w:r w:rsidRPr="005C274E">
        <w:rPr>
          <w:rStyle w:val="Funotenzeichen"/>
          <w:sz w:val="16"/>
          <w:szCs w:val="16"/>
        </w:rPr>
        <w:footnoteRef/>
      </w:r>
      <w:r w:rsidRPr="005C274E">
        <w:rPr>
          <w:sz w:val="16"/>
          <w:szCs w:val="16"/>
        </w:rPr>
        <w:t xml:space="preserve"> DIN EN 12457-4 (01/2003) </w:t>
      </w:r>
      <w:r w:rsidRPr="00DC2E3F">
        <w:rPr>
          <w:rStyle w:val="Fett"/>
          <w:b w:val="0"/>
          <w:sz w:val="16"/>
          <w:szCs w:val="16"/>
        </w:rPr>
        <w:t>Charakterisierung von Abfällen - Auslaugung; Übereinstimmungsuntersuchung für die Auslaugung von körnigen Abfällen und Schlämmen - Teil 4: Einstufiges Schüttelverfahren mit einem Flüssigkeits-/Feststoffverhältnis von 10 l/kg für Materialien mit einer Korngröße unter 10 mm (ohne o</w:t>
      </w:r>
      <w:r>
        <w:rPr>
          <w:rStyle w:val="Fett"/>
          <w:b w:val="0"/>
          <w:sz w:val="16"/>
          <w:szCs w:val="16"/>
        </w:rPr>
        <w:t>der mit Korngrößenreduzierung)</w:t>
      </w:r>
    </w:p>
  </w:footnote>
  <w:footnote w:id="12">
    <w:p w:rsidR="006C3238" w:rsidRPr="00717E3E" w:rsidRDefault="006C3238" w:rsidP="000A19BC">
      <w:pPr>
        <w:pStyle w:val="Funotentext"/>
        <w:rPr>
          <w:b/>
          <w:sz w:val="16"/>
          <w:szCs w:val="16"/>
        </w:rPr>
      </w:pPr>
      <w:r w:rsidRPr="005C274E">
        <w:rPr>
          <w:rStyle w:val="Funotenzeichen"/>
          <w:sz w:val="16"/>
          <w:szCs w:val="16"/>
        </w:rPr>
        <w:footnoteRef/>
      </w:r>
      <w:r w:rsidRPr="005C27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DIN 19902 (03/2018) </w:t>
      </w:r>
      <w:proofErr w:type="spellStart"/>
      <w:r w:rsidRPr="00717E3E">
        <w:rPr>
          <w:rStyle w:val="Fett"/>
          <w:b w:val="0"/>
          <w:sz w:val="16"/>
          <w:szCs w:val="16"/>
        </w:rPr>
        <w:t>Elution</w:t>
      </w:r>
      <w:proofErr w:type="spellEnd"/>
      <w:r w:rsidRPr="00717E3E">
        <w:rPr>
          <w:rStyle w:val="Fett"/>
          <w:b w:val="0"/>
          <w:sz w:val="16"/>
          <w:szCs w:val="16"/>
        </w:rPr>
        <w:t xml:space="preserve"> von Feststoffen - Vor-Ort-</w:t>
      </w:r>
      <w:proofErr w:type="spellStart"/>
      <w:r w:rsidRPr="00717E3E">
        <w:rPr>
          <w:rStyle w:val="Fett"/>
          <w:b w:val="0"/>
          <w:sz w:val="16"/>
          <w:szCs w:val="16"/>
        </w:rPr>
        <w:t>Elutionsverfahren</w:t>
      </w:r>
      <w:proofErr w:type="spellEnd"/>
      <w:r w:rsidRPr="00717E3E">
        <w:rPr>
          <w:rStyle w:val="Fett"/>
          <w:b w:val="0"/>
          <w:sz w:val="16"/>
          <w:szCs w:val="16"/>
        </w:rPr>
        <w:t xml:space="preserve"> zur Ermittlung der mobilisierbaren anorganischen Stoffanteile</w:t>
      </w:r>
    </w:p>
  </w:footnote>
  <w:footnote w:id="13">
    <w:p w:rsidR="006C3238" w:rsidRDefault="006C3238" w:rsidP="000A19BC">
      <w:pPr>
        <w:pStyle w:val="Funotentext"/>
        <w:rPr>
          <w:rStyle w:val="Fett"/>
          <w:b w:val="0"/>
          <w:sz w:val="16"/>
          <w:szCs w:val="16"/>
        </w:rPr>
      </w:pPr>
      <w:r w:rsidRPr="005C274E">
        <w:rPr>
          <w:rStyle w:val="Funotenzeichen"/>
          <w:sz w:val="16"/>
          <w:szCs w:val="16"/>
        </w:rPr>
        <w:footnoteRef/>
      </w:r>
      <w:r w:rsidRPr="005C27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DIN 19529 (12/20015) </w:t>
      </w:r>
      <w:proofErr w:type="spellStart"/>
      <w:r w:rsidRPr="007E2997">
        <w:rPr>
          <w:rStyle w:val="Fett"/>
          <w:b w:val="0"/>
          <w:sz w:val="16"/>
          <w:szCs w:val="16"/>
        </w:rPr>
        <w:t>Elution</w:t>
      </w:r>
      <w:proofErr w:type="spellEnd"/>
      <w:r w:rsidRPr="007E2997">
        <w:rPr>
          <w:rStyle w:val="Fett"/>
          <w:b w:val="0"/>
          <w:sz w:val="16"/>
          <w:szCs w:val="16"/>
        </w:rPr>
        <w:t xml:space="preserve"> von Feststoffen - Schüttelverfahren zur Untersuchung des </w:t>
      </w:r>
      <w:proofErr w:type="spellStart"/>
      <w:r w:rsidRPr="007E2997">
        <w:rPr>
          <w:rStyle w:val="Fett"/>
          <w:b w:val="0"/>
          <w:sz w:val="16"/>
          <w:szCs w:val="16"/>
        </w:rPr>
        <w:t>Elutionsverhaltens</w:t>
      </w:r>
      <w:proofErr w:type="spellEnd"/>
      <w:r w:rsidRPr="007E2997">
        <w:rPr>
          <w:rStyle w:val="Fett"/>
          <w:b w:val="0"/>
          <w:sz w:val="16"/>
          <w:szCs w:val="16"/>
        </w:rPr>
        <w:t xml:space="preserve"> von an</w:t>
      </w:r>
      <w:r>
        <w:rPr>
          <w:rStyle w:val="Fett"/>
          <w:b w:val="0"/>
          <w:sz w:val="16"/>
          <w:szCs w:val="16"/>
        </w:rPr>
        <w:t>-</w:t>
      </w:r>
    </w:p>
    <w:p w:rsidR="006C3238" w:rsidRPr="007E2997" w:rsidRDefault="006C3238" w:rsidP="000A19BC">
      <w:pPr>
        <w:pStyle w:val="Funotentext"/>
        <w:rPr>
          <w:b/>
          <w:sz w:val="16"/>
          <w:szCs w:val="16"/>
        </w:rPr>
      </w:pPr>
      <w:r w:rsidRPr="007E2997">
        <w:rPr>
          <w:rStyle w:val="Fett"/>
          <w:b w:val="0"/>
          <w:sz w:val="16"/>
          <w:szCs w:val="16"/>
        </w:rPr>
        <w:t>organischen und organischen Stoffen mit einem Wasser/Feststoff-Verhältnis von 2 l/kg</w:t>
      </w:r>
    </w:p>
  </w:footnote>
  <w:footnote w:id="14">
    <w:p w:rsidR="006C3238" w:rsidRPr="00543DF7" w:rsidRDefault="006C3238" w:rsidP="000A19BC">
      <w:pPr>
        <w:pStyle w:val="Funotentext"/>
        <w:rPr>
          <w:b/>
          <w:sz w:val="16"/>
          <w:szCs w:val="16"/>
        </w:rPr>
      </w:pPr>
      <w:r w:rsidRPr="005C274E">
        <w:rPr>
          <w:rStyle w:val="Funotenzeichen"/>
          <w:sz w:val="16"/>
          <w:szCs w:val="16"/>
        </w:rPr>
        <w:footnoteRef/>
      </w:r>
      <w:r w:rsidRPr="005C27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DIN ISO 22036 (06/2009) </w:t>
      </w:r>
      <w:r w:rsidRPr="00543DF7">
        <w:rPr>
          <w:rStyle w:val="Fett"/>
          <w:b w:val="0"/>
          <w:sz w:val="16"/>
          <w:szCs w:val="16"/>
        </w:rPr>
        <w:t>Bodenbeschaffenheit - Bestimmung von Spurenelementen in Bodenextrakten mittels Atom</w:t>
      </w:r>
      <w:r>
        <w:rPr>
          <w:rStyle w:val="Fett"/>
          <w:b w:val="0"/>
          <w:sz w:val="16"/>
          <w:szCs w:val="16"/>
        </w:rPr>
        <w:t>-</w:t>
      </w:r>
      <w:proofErr w:type="spellStart"/>
      <w:r w:rsidRPr="00543DF7">
        <w:rPr>
          <w:rStyle w:val="Fett"/>
          <w:b w:val="0"/>
          <w:sz w:val="16"/>
          <w:szCs w:val="16"/>
        </w:rPr>
        <w:t>emissionsspektrometrie</w:t>
      </w:r>
      <w:proofErr w:type="spellEnd"/>
      <w:r w:rsidRPr="00543DF7">
        <w:rPr>
          <w:rStyle w:val="Fett"/>
          <w:b w:val="0"/>
          <w:sz w:val="16"/>
          <w:szCs w:val="16"/>
        </w:rPr>
        <w:t xml:space="preserve"> mit induktiv gekoppeltem P</w:t>
      </w:r>
      <w:r>
        <w:rPr>
          <w:rStyle w:val="Fett"/>
          <w:b w:val="0"/>
          <w:sz w:val="16"/>
          <w:szCs w:val="16"/>
        </w:rPr>
        <w:t>lasma (ICP-AES)</w:t>
      </w:r>
    </w:p>
  </w:footnote>
  <w:footnote w:id="15">
    <w:p w:rsidR="006C3238" w:rsidRPr="005B114A" w:rsidRDefault="006C3238" w:rsidP="000A19BC">
      <w:pPr>
        <w:pStyle w:val="Funotentext"/>
        <w:rPr>
          <w:b/>
          <w:sz w:val="16"/>
          <w:szCs w:val="16"/>
        </w:rPr>
      </w:pPr>
      <w:r w:rsidRPr="005C274E">
        <w:rPr>
          <w:rStyle w:val="Funotenzeichen"/>
          <w:sz w:val="16"/>
          <w:szCs w:val="16"/>
        </w:rPr>
        <w:footnoteRef/>
      </w:r>
      <w:r w:rsidRPr="005C27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DIN EN ISO 17294-2 (01/2017) </w:t>
      </w:r>
      <w:r w:rsidRPr="005B114A">
        <w:rPr>
          <w:rStyle w:val="Fett"/>
          <w:b w:val="0"/>
          <w:sz w:val="16"/>
          <w:szCs w:val="16"/>
        </w:rPr>
        <w:t>Wasserbeschaffenheit - Anwendung der induktiv gekoppelten Plasma-</w:t>
      </w:r>
      <w:proofErr w:type="spellStart"/>
      <w:r w:rsidRPr="005B114A">
        <w:rPr>
          <w:rStyle w:val="Fett"/>
          <w:b w:val="0"/>
          <w:sz w:val="16"/>
          <w:szCs w:val="16"/>
        </w:rPr>
        <w:t>Massenspektrometrie</w:t>
      </w:r>
      <w:proofErr w:type="spellEnd"/>
      <w:r w:rsidRPr="005B114A">
        <w:rPr>
          <w:rStyle w:val="Fett"/>
          <w:b w:val="0"/>
          <w:sz w:val="16"/>
          <w:szCs w:val="16"/>
        </w:rPr>
        <w:t xml:space="preserve"> (ICP-MS) - Teil 2: Bestimmung von ausgewählten Elementen einschließlich Uran-</w:t>
      </w:r>
      <w:r>
        <w:rPr>
          <w:rStyle w:val="Fett"/>
          <w:b w:val="0"/>
          <w:sz w:val="16"/>
          <w:szCs w:val="16"/>
        </w:rPr>
        <w:t>Isotope (ISO 17294-2:2016)</w:t>
      </w:r>
    </w:p>
  </w:footnote>
  <w:footnote w:id="16">
    <w:p w:rsidR="006C3238" w:rsidRPr="00FE1A14" w:rsidRDefault="006C3238" w:rsidP="00177FA9">
      <w:pPr>
        <w:pStyle w:val="Funotentext"/>
        <w:rPr>
          <w:i/>
          <w:sz w:val="16"/>
          <w:szCs w:val="16"/>
          <w:lang w:val="en-US"/>
        </w:rPr>
      </w:pPr>
      <w:r>
        <w:rPr>
          <w:rStyle w:val="Funotenzeichen"/>
        </w:rPr>
        <w:footnoteRef/>
      </w:r>
      <w:r w:rsidRPr="00FE1A14">
        <w:rPr>
          <w:sz w:val="16"/>
          <w:szCs w:val="16"/>
          <w:lang w:val="en-US"/>
        </w:rPr>
        <w:t xml:space="preserve"> BET: </w:t>
      </w:r>
      <w:proofErr w:type="spellStart"/>
      <w:r w:rsidRPr="00FE1A14">
        <w:rPr>
          <w:sz w:val="16"/>
          <w:szCs w:val="16"/>
          <w:u w:val="single"/>
          <w:lang w:val="en-US"/>
        </w:rPr>
        <w:t>B</w:t>
      </w:r>
      <w:r w:rsidRPr="00FE1A14">
        <w:rPr>
          <w:sz w:val="16"/>
          <w:szCs w:val="16"/>
          <w:lang w:val="en-US"/>
        </w:rPr>
        <w:t>runauer</w:t>
      </w:r>
      <w:proofErr w:type="spellEnd"/>
      <w:r w:rsidRPr="00FE1A14">
        <w:rPr>
          <w:sz w:val="16"/>
          <w:szCs w:val="16"/>
          <w:lang w:val="en-US"/>
        </w:rPr>
        <w:t xml:space="preserve">, </w:t>
      </w:r>
      <w:r w:rsidRPr="00FE1A14">
        <w:rPr>
          <w:sz w:val="16"/>
          <w:szCs w:val="16"/>
          <w:u w:val="single"/>
          <w:lang w:val="en-US"/>
        </w:rPr>
        <w:t>E</w:t>
      </w:r>
      <w:r w:rsidRPr="00FE1A14">
        <w:rPr>
          <w:sz w:val="16"/>
          <w:szCs w:val="16"/>
          <w:lang w:val="en-US"/>
        </w:rPr>
        <w:t xml:space="preserve">mmett, </w:t>
      </w:r>
      <w:r w:rsidRPr="00FE1A14">
        <w:rPr>
          <w:sz w:val="16"/>
          <w:szCs w:val="16"/>
          <w:u w:val="single"/>
          <w:lang w:val="en-US"/>
        </w:rPr>
        <w:t>T</w:t>
      </w:r>
      <w:r w:rsidRPr="00FE1A14">
        <w:rPr>
          <w:sz w:val="16"/>
          <w:szCs w:val="16"/>
          <w:lang w:val="en-US"/>
        </w:rPr>
        <w:t xml:space="preserve">eller; </w:t>
      </w:r>
      <w:r w:rsidRPr="00FE1A14">
        <w:rPr>
          <w:rStyle w:val="HTMLZitat"/>
          <w:i w:val="0"/>
          <w:sz w:val="16"/>
          <w:szCs w:val="16"/>
          <w:lang w:val="en-US"/>
        </w:rPr>
        <w:t xml:space="preserve">Adsorption of Gases in </w:t>
      </w:r>
      <w:proofErr w:type="spellStart"/>
      <w:r w:rsidRPr="00FE1A14">
        <w:rPr>
          <w:rStyle w:val="HTMLZitat"/>
          <w:i w:val="0"/>
          <w:sz w:val="16"/>
          <w:szCs w:val="16"/>
          <w:lang w:val="en-US"/>
        </w:rPr>
        <w:t>Multimolecular</w:t>
      </w:r>
      <w:proofErr w:type="spellEnd"/>
      <w:r w:rsidRPr="00FE1A14">
        <w:rPr>
          <w:rStyle w:val="HTMLZitat"/>
          <w:i w:val="0"/>
          <w:sz w:val="16"/>
          <w:szCs w:val="16"/>
          <w:lang w:val="en-US"/>
        </w:rPr>
        <w:t xml:space="preserve"> Layers</w:t>
      </w:r>
      <w:r w:rsidRPr="00FE1A14">
        <w:rPr>
          <w:rStyle w:val="reference-text"/>
          <w:i/>
          <w:sz w:val="16"/>
          <w:szCs w:val="16"/>
          <w:lang w:val="en-US"/>
        </w:rPr>
        <w:t xml:space="preserve">. In: </w:t>
      </w:r>
      <w:r w:rsidRPr="00FE1A14">
        <w:rPr>
          <w:rStyle w:val="HTMLZitat"/>
          <w:i w:val="0"/>
          <w:sz w:val="16"/>
          <w:szCs w:val="16"/>
          <w:lang w:val="en-US"/>
        </w:rPr>
        <w:t>Journal of the American Chemical Society</w:t>
      </w:r>
      <w:r>
        <w:rPr>
          <w:rStyle w:val="reference-text"/>
          <w:i/>
          <w:sz w:val="16"/>
          <w:szCs w:val="16"/>
          <w:lang w:val="en-US"/>
        </w:rPr>
        <w:t xml:space="preserve">; </w:t>
      </w:r>
      <w:r w:rsidRPr="00FE1A14">
        <w:rPr>
          <w:rStyle w:val="reference-text"/>
          <w:i/>
          <w:sz w:val="16"/>
          <w:szCs w:val="16"/>
          <w:lang w:val="en-US"/>
        </w:rPr>
        <w:t xml:space="preserve">Band 60, Nr. 2, </w:t>
      </w:r>
      <w:proofErr w:type="spellStart"/>
      <w:r w:rsidRPr="00FE1A14">
        <w:rPr>
          <w:rStyle w:val="reference-text"/>
          <w:i/>
          <w:sz w:val="16"/>
          <w:szCs w:val="16"/>
          <w:lang w:val="en-US"/>
        </w:rPr>
        <w:t>Februar</w:t>
      </w:r>
      <w:proofErr w:type="spellEnd"/>
      <w:r w:rsidRPr="00FE1A14">
        <w:rPr>
          <w:rStyle w:val="reference-text"/>
          <w:i/>
          <w:sz w:val="16"/>
          <w:szCs w:val="16"/>
          <w:lang w:val="en-US"/>
        </w:rPr>
        <w:t xml:space="preserve"> 1938, S. 309–319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42E7"/>
    <w:multiLevelType w:val="hybridMultilevel"/>
    <w:tmpl w:val="9AC28EE4"/>
    <w:lvl w:ilvl="0" w:tplc="04070019">
      <w:start w:val="1"/>
      <w:numFmt w:val="lowerLetter"/>
      <w:lvlText w:val="%1."/>
      <w:lvlJc w:val="left"/>
      <w:pPr>
        <w:ind w:left="3192" w:hanging="360"/>
      </w:p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38A"/>
    <w:rsid w:val="0001596F"/>
    <w:rsid w:val="000252E4"/>
    <w:rsid w:val="00037DB8"/>
    <w:rsid w:val="000552F3"/>
    <w:rsid w:val="00067139"/>
    <w:rsid w:val="0008238A"/>
    <w:rsid w:val="000A19BC"/>
    <w:rsid w:val="00117A45"/>
    <w:rsid w:val="0012509D"/>
    <w:rsid w:val="001327DE"/>
    <w:rsid w:val="00140769"/>
    <w:rsid w:val="00177FA9"/>
    <w:rsid w:val="00180057"/>
    <w:rsid w:val="001A0325"/>
    <w:rsid w:val="001A17E3"/>
    <w:rsid w:val="001E7D8D"/>
    <w:rsid w:val="001F2116"/>
    <w:rsid w:val="001F62D3"/>
    <w:rsid w:val="00250FE8"/>
    <w:rsid w:val="002527D1"/>
    <w:rsid w:val="00266F7A"/>
    <w:rsid w:val="00282B32"/>
    <w:rsid w:val="002A28F7"/>
    <w:rsid w:val="002E468D"/>
    <w:rsid w:val="002E6751"/>
    <w:rsid w:val="002F33C6"/>
    <w:rsid w:val="00307694"/>
    <w:rsid w:val="00311B0B"/>
    <w:rsid w:val="00312C4D"/>
    <w:rsid w:val="00326965"/>
    <w:rsid w:val="003420F0"/>
    <w:rsid w:val="003A18B7"/>
    <w:rsid w:val="003C419B"/>
    <w:rsid w:val="003E3614"/>
    <w:rsid w:val="00405F5E"/>
    <w:rsid w:val="00417D9F"/>
    <w:rsid w:val="0043290C"/>
    <w:rsid w:val="00466524"/>
    <w:rsid w:val="004F21AA"/>
    <w:rsid w:val="00507BE1"/>
    <w:rsid w:val="00511D61"/>
    <w:rsid w:val="00543DF7"/>
    <w:rsid w:val="00551984"/>
    <w:rsid w:val="00570B03"/>
    <w:rsid w:val="00596027"/>
    <w:rsid w:val="005B114A"/>
    <w:rsid w:val="005B37D4"/>
    <w:rsid w:val="005C274E"/>
    <w:rsid w:val="00602CD6"/>
    <w:rsid w:val="00641F4A"/>
    <w:rsid w:val="006C3238"/>
    <w:rsid w:val="006D7C37"/>
    <w:rsid w:val="006E0ACF"/>
    <w:rsid w:val="006F2C49"/>
    <w:rsid w:val="00717E3E"/>
    <w:rsid w:val="007337C7"/>
    <w:rsid w:val="00746922"/>
    <w:rsid w:val="00747F09"/>
    <w:rsid w:val="00775116"/>
    <w:rsid w:val="00777CC6"/>
    <w:rsid w:val="0078239C"/>
    <w:rsid w:val="007975A6"/>
    <w:rsid w:val="007C46D6"/>
    <w:rsid w:val="007D7784"/>
    <w:rsid w:val="007E105B"/>
    <w:rsid w:val="007E2997"/>
    <w:rsid w:val="007E75EF"/>
    <w:rsid w:val="008228E1"/>
    <w:rsid w:val="00824F95"/>
    <w:rsid w:val="008B443A"/>
    <w:rsid w:val="008E7607"/>
    <w:rsid w:val="0094124D"/>
    <w:rsid w:val="0098755D"/>
    <w:rsid w:val="009A5657"/>
    <w:rsid w:val="009B7E1C"/>
    <w:rsid w:val="009E0C3C"/>
    <w:rsid w:val="009E102C"/>
    <w:rsid w:val="009F2163"/>
    <w:rsid w:val="00A16D38"/>
    <w:rsid w:val="00A20A72"/>
    <w:rsid w:val="00A47C9C"/>
    <w:rsid w:val="00AD6943"/>
    <w:rsid w:val="00AF155C"/>
    <w:rsid w:val="00AF6023"/>
    <w:rsid w:val="00B1169C"/>
    <w:rsid w:val="00B7508E"/>
    <w:rsid w:val="00B947C4"/>
    <w:rsid w:val="00BA4DBD"/>
    <w:rsid w:val="00BA5360"/>
    <w:rsid w:val="00BB202F"/>
    <w:rsid w:val="00BD0A4F"/>
    <w:rsid w:val="00BF4691"/>
    <w:rsid w:val="00C0088C"/>
    <w:rsid w:val="00C02BF2"/>
    <w:rsid w:val="00C119AD"/>
    <w:rsid w:val="00C56760"/>
    <w:rsid w:val="00C964F2"/>
    <w:rsid w:val="00CD217C"/>
    <w:rsid w:val="00CD2906"/>
    <w:rsid w:val="00CD5023"/>
    <w:rsid w:val="00CE5D71"/>
    <w:rsid w:val="00CF68EC"/>
    <w:rsid w:val="00D258BD"/>
    <w:rsid w:val="00D3781F"/>
    <w:rsid w:val="00D50E3A"/>
    <w:rsid w:val="00D53EE1"/>
    <w:rsid w:val="00D71003"/>
    <w:rsid w:val="00D717E4"/>
    <w:rsid w:val="00D91DA7"/>
    <w:rsid w:val="00D9703A"/>
    <w:rsid w:val="00DA6830"/>
    <w:rsid w:val="00DC12CF"/>
    <w:rsid w:val="00DC2E3F"/>
    <w:rsid w:val="00DD5445"/>
    <w:rsid w:val="00DD75D1"/>
    <w:rsid w:val="00DF3F8A"/>
    <w:rsid w:val="00E15FF6"/>
    <w:rsid w:val="00E71DCF"/>
    <w:rsid w:val="00E74D3D"/>
    <w:rsid w:val="00E92DCA"/>
    <w:rsid w:val="00EC2638"/>
    <w:rsid w:val="00EC5206"/>
    <w:rsid w:val="00F03C21"/>
    <w:rsid w:val="00F7779B"/>
    <w:rsid w:val="00F857AE"/>
    <w:rsid w:val="00F96380"/>
    <w:rsid w:val="00FB0E64"/>
    <w:rsid w:val="00FB1D80"/>
    <w:rsid w:val="00FB3CB0"/>
    <w:rsid w:val="00FC6226"/>
    <w:rsid w:val="00FE1A14"/>
    <w:rsid w:val="00FE4011"/>
    <w:rsid w:val="00FE412F"/>
    <w:rsid w:val="00FE5624"/>
    <w:rsid w:val="00FE7967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Barri"/>
    <w:next w:val="Blocktext"/>
    <w:qFormat/>
    <w:rsid w:val="00D9703A"/>
    <w:pPr>
      <w:spacing w:before="12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unhideWhenUsed/>
    <w:rsid w:val="00FF606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KeinLeerraum">
    <w:name w:val="No Spacing"/>
    <w:aliases w:val="Barri II"/>
    <w:uiPriority w:val="1"/>
    <w:qFormat/>
    <w:rsid w:val="00D9703A"/>
    <w:pPr>
      <w:spacing w:after="0" w:line="240" w:lineRule="auto"/>
      <w:jc w:val="both"/>
    </w:pPr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F68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68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CF68EC"/>
    <w:pPr>
      <w:spacing w:before="0" w:after="0" w:line="240" w:lineRule="auto"/>
      <w:jc w:val="left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F68EC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CF68E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3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7D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3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7DE"/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717E3E"/>
    <w:rPr>
      <w:b/>
      <w:bCs/>
    </w:rPr>
  </w:style>
  <w:style w:type="paragraph" w:styleId="Listenabsatz">
    <w:name w:val="List Paragraph"/>
    <w:basedOn w:val="Standard"/>
    <w:uiPriority w:val="34"/>
    <w:qFormat/>
    <w:rsid w:val="00D53EE1"/>
    <w:pPr>
      <w:ind w:left="720"/>
      <w:contextualSpacing/>
    </w:pPr>
  </w:style>
  <w:style w:type="character" w:customStyle="1" w:styleId="reference-text">
    <w:name w:val="reference-text"/>
    <w:basedOn w:val="Absatz-Standardschriftart"/>
    <w:rsid w:val="00FE1A14"/>
  </w:style>
  <w:style w:type="character" w:styleId="HTMLZitat">
    <w:name w:val="HTML Cite"/>
    <w:basedOn w:val="Absatz-Standardschriftart"/>
    <w:uiPriority w:val="99"/>
    <w:semiHidden/>
    <w:unhideWhenUsed/>
    <w:rsid w:val="00FE1A14"/>
    <w:rPr>
      <w:i/>
      <w:iCs/>
    </w:rPr>
  </w:style>
  <w:style w:type="paragraph" w:styleId="StandardWeb">
    <w:name w:val="Normal (Web)"/>
    <w:basedOn w:val="Standard"/>
    <w:rsid w:val="00117A45"/>
    <w:pPr>
      <w:spacing w:before="0" w:after="100" w:afterAutospacing="1" w:line="240" w:lineRule="auto"/>
      <w:jc w:val="left"/>
    </w:pPr>
    <w:rPr>
      <w:rFonts w:eastAsia="Times New Roman" w:cs="Arial"/>
      <w:color w:val="000000"/>
      <w:sz w:val="21"/>
      <w:szCs w:val="21"/>
      <w:lang w:eastAsia="de-DE"/>
    </w:rPr>
  </w:style>
  <w:style w:type="character" w:customStyle="1" w:styleId="style5">
    <w:name w:val="style5"/>
    <w:basedOn w:val="Absatz-Standardschriftart"/>
    <w:rsid w:val="009F21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B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Barri"/>
    <w:next w:val="Blocktext"/>
    <w:qFormat/>
    <w:rsid w:val="00D9703A"/>
    <w:pPr>
      <w:spacing w:before="12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unhideWhenUsed/>
    <w:rsid w:val="00FF606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KeinLeerraum">
    <w:name w:val="No Spacing"/>
    <w:aliases w:val="Barri II"/>
    <w:uiPriority w:val="1"/>
    <w:qFormat/>
    <w:rsid w:val="00D9703A"/>
    <w:pPr>
      <w:spacing w:after="0" w:line="240" w:lineRule="auto"/>
      <w:jc w:val="both"/>
    </w:pPr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F68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68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CF68EC"/>
    <w:pPr>
      <w:spacing w:before="0" w:after="0" w:line="240" w:lineRule="auto"/>
      <w:jc w:val="left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F68EC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CF68E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3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7D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3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7DE"/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717E3E"/>
    <w:rPr>
      <w:b/>
      <w:bCs/>
    </w:rPr>
  </w:style>
  <w:style w:type="paragraph" w:styleId="Listenabsatz">
    <w:name w:val="List Paragraph"/>
    <w:basedOn w:val="Standard"/>
    <w:uiPriority w:val="34"/>
    <w:qFormat/>
    <w:rsid w:val="00D53EE1"/>
    <w:pPr>
      <w:ind w:left="720"/>
      <w:contextualSpacing/>
    </w:pPr>
  </w:style>
  <w:style w:type="character" w:customStyle="1" w:styleId="reference-text">
    <w:name w:val="reference-text"/>
    <w:basedOn w:val="Absatz-Standardschriftart"/>
    <w:rsid w:val="00FE1A14"/>
  </w:style>
  <w:style w:type="character" w:styleId="HTMLZitat">
    <w:name w:val="HTML Cite"/>
    <w:basedOn w:val="Absatz-Standardschriftart"/>
    <w:uiPriority w:val="99"/>
    <w:semiHidden/>
    <w:unhideWhenUsed/>
    <w:rsid w:val="00FE1A14"/>
    <w:rPr>
      <w:i/>
      <w:iCs/>
    </w:rPr>
  </w:style>
  <w:style w:type="paragraph" w:styleId="StandardWeb">
    <w:name w:val="Normal (Web)"/>
    <w:basedOn w:val="Standard"/>
    <w:rsid w:val="00117A45"/>
    <w:pPr>
      <w:spacing w:before="0" w:after="100" w:afterAutospacing="1" w:line="240" w:lineRule="auto"/>
      <w:jc w:val="left"/>
    </w:pPr>
    <w:rPr>
      <w:rFonts w:eastAsia="Times New Roman" w:cs="Arial"/>
      <w:color w:val="000000"/>
      <w:sz w:val="21"/>
      <w:szCs w:val="21"/>
      <w:lang w:eastAsia="de-DE"/>
    </w:rPr>
  </w:style>
  <w:style w:type="character" w:customStyle="1" w:styleId="style5">
    <w:name w:val="style5"/>
    <w:basedOn w:val="Absatz-Standardschriftart"/>
    <w:rsid w:val="009F21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B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LANUV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barrens</dc:creator>
  <cp:lastModifiedBy>VI-400e</cp:lastModifiedBy>
  <cp:revision>3</cp:revision>
  <cp:lastPrinted>2018-03-19T13:07:00Z</cp:lastPrinted>
  <dcterms:created xsi:type="dcterms:W3CDTF">2018-04-03T07:38:00Z</dcterms:created>
  <dcterms:modified xsi:type="dcterms:W3CDTF">2018-04-03T07:49:00Z</dcterms:modified>
</cp:coreProperties>
</file>